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5856B9">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 xml:space="preserve">                                     合同编号：</w:t>
      </w:r>
      <w:r>
        <w:rPr>
          <w:rFonts w:hint="eastAsia" w:ascii="仿宋_GB2312" w:hAnsi="仿宋_GB2312" w:eastAsia="仿宋_GB2312" w:cs="仿宋_GB2312"/>
          <w:color w:val="auto"/>
          <w:sz w:val="28"/>
          <w:szCs w:val="28"/>
          <w:u w:val="single"/>
        </w:rPr>
        <w:t xml:space="preserve">             </w:t>
      </w:r>
      <w:r>
        <w:rPr>
          <w:rFonts w:hint="eastAsia" w:ascii="仿宋_GB2312" w:hAnsi="仿宋_GB2312" w:eastAsia="仿宋_GB2312" w:cs="仿宋_GB2312"/>
          <w:color w:val="auto"/>
          <w:sz w:val="28"/>
          <w:szCs w:val="28"/>
        </w:rPr>
        <w:t xml:space="preserve"> </w:t>
      </w:r>
    </w:p>
    <w:p w14:paraId="58619145">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color w:val="auto"/>
          <w:sz w:val="28"/>
          <w:szCs w:val="28"/>
        </w:rPr>
      </w:pPr>
    </w:p>
    <w:p w14:paraId="6A9ED794">
      <w:pPr>
        <w:keepNext w:val="0"/>
        <w:keepLines w:val="0"/>
        <w:pageBreakBefore w:val="0"/>
        <w:kinsoku/>
        <w:wordWrap/>
        <w:overflowPunct/>
        <w:topLinePunct w:val="0"/>
        <w:autoSpaceDE/>
        <w:autoSpaceDN/>
        <w:bidi w:val="0"/>
        <w:adjustRightInd/>
        <w:snapToGrid/>
        <w:spacing w:line="440" w:lineRule="exact"/>
        <w:ind w:left="0" w:leftChars="0" w:right="0"/>
        <w:jc w:val="center"/>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b/>
          <w:color w:val="auto"/>
          <w:sz w:val="32"/>
          <w:szCs w:val="32"/>
          <w:highlight w:val="none"/>
          <w:u w:val="single"/>
        </w:rPr>
        <w:t>轨道御水江岸项目20#-23#、32#、33#、35#-37#楼及地下室工程-混凝土购销合同</w:t>
      </w:r>
    </w:p>
    <w:p w14:paraId="5D05888F">
      <w:pPr>
        <w:keepNext w:val="0"/>
        <w:keepLines w:val="0"/>
        <w:pageBreakBefore w:val="0"/>
        <w:kinsoku/>
        <w:wordWrap/>
        <w:overflowPunct/>
        <w:topLinePunct w:val="0"/>
        <w:autoSpaceDE/>
        <w:autoSpaceDN/>
        <w:bidi w:val="0"/>
        <w:adjustRightInd/>
        <w:snapToGrid/>
        <w:spacing w:line="440" w:lineRule="exact"/>
        <w:ind w:left="0" w:leftChars="0" w:right="0"/>
        <w:textAlignment w:val="auto"/>
        <w:rPr>
          <w:rFonts w:hint="eastAsia" w:ascii="仿宋_GB2312" w:hAnsi="仿宋_GB2312" w:eastAsia="仿宋_GB2312" w:cs="仿宋_GB2312"/>
          <w:b/>
          <w:color w:val="auto"/>
          <w:sz w:val="28"/>
          <w:szCs w:val="28"/>
          <w:highlight w:val="none"/>
        </w:rPr>
      </w:pPr>
    </w:p>
    <w:p w14:paraId="62B568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甲方（购方）：</w:t>
      </w:r>
      <w:r>
        <w:rPr>
          <w:rFonts w:hint="eastAsia" w:ascii="仿宋_GB2312" w:hAnsi="仿宋_GB2312" w:eastAsia="仿宋_GB2312" w:cs="仿宋_GB2312"/>
          <w:b/>
          <w:color w:val="auto"/>
          <w:sz w:val="28"/>
          <w:szCs w:val="28"/>
          <w:highlight w:val="none"/>
          <w:u w:val="single"/>
        </w:rPr>
        <w:t>南宁轨道地产建筑工程有限责任公司</w:t>
      </w:r>
    </w:p>
    <w:p w14:paraId="3E32E8C3">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highlight w:val="none"/>
          <w:u w:val="single"/>
        </w:rPr>
      </w:pPr>
      <w:r>
        <w:rPr>
          <w:rFonts w:hint="eastAsia" w:ascii="仿宋_GB2312" w:hAnsi="仿宋_GB2312" w:eastAsia="仿宋_GB2312" w:cs="仿宋_GB2312"/>
          <w:b/>
          <w:color w:val="auto"/>
          <w:sz w:val="28"/>
          <w:szCs w:val="28"/>
          <w:highlight w:val="none"/>
        </w:rPr>
        <w:t>乙方（供方）：</w:t>
      </w:r>
      <w:r>
        <w:rPr>
          <w:rFonts w:hint="eastAsia" w:ascii="仿宋_GB2312" w:hAnsi="仿宋_GB2312" w:eastAsia="仿宋_GB2312" w:cs="仿宋_GB2312"/>
          <w:b/>
          <w:color w:val="auto"/>
          <w:sz w:val="28"/>
          <w:szCs w:val="28"/>
          <w:highlight w:val="none"/>
          <w:u w:val="single"/>
        </w:rPr>
        <w:t xml:space="preserve">                                 </w:t>
      </w:r>
    </w:p>
    <w:p w14:paraId="430DB34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一、供应项目、生产厂、规格品种、等级、包装、价格</w:t>
      </w:r>
    </w:p>
    <w:p w14:paraId="53A2185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u w:val="single"/>
        </w:rPr>
      </w:pPr>
      <w:r>
        <w:rPr>
          <w:rFonts w:hint="eastAsia" w:ascii="仿宋_GB2312" w:hAnsi="仿宋_GB2312" w:eastAsia="仿宋_GB2312" w:cs="仿宋_GB2312"/>
          <w:color w:val="auto"/>
          <w:sz w:val="28"/>
          <w:szCs w:val="28"/>
          <w:highlight w:val="none"/>
        </w:rPr>
        <w:t>1、供应项目：</w:t>
      </w:r>
      <w:r>
        <w:rPr>
          <w:rFonts w:hint="eastAsia" w:ascii="仿宋_GB2312" w:hAnsi="仿宋_GB2312" w:eastAsia="仿宋_GB2312" w:cs="仿宋_GB2312"/>
          <w:color w:val="auto"/>
          <w:sz w:val="28"/>
          <w:szCs w:val="28"/>
          <w:highlight w:val="none"/>
          <w:u w:val="single"/>
        </w:rPr>
        <w:t xml:space="preserve">                                     </w:t>
      </w:r>
    </w:p>
    <w:p w14:paraId="1E85F51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2、项目地址：</w:t>
      </w:r>
      <w:r>
        <w:rPr>
          <w:rFonts w:hint="eastAsia" w:ascii="仿宋_GB2312" w:hAnsi="仿宋_GB2312" w:eastAsia="仿宋_GB2312" w:cs="仿宋_GB2312"/>
          <w:color w:val="auto"/>
          <w:sz w:val="28"/>
          <w:szCs w:val="28"/>
          <w:highlight w:val="none"/>
          <w:u w:val="single"/>
        </w:rPr>
        <w:t xml:space="preserve">                                     </w:t>
      </w:r>
    </w:p>
    <w:p w14:paraId="618361B5">
      <w:pPr>
        <w:pStyle w:val="6"/>
        <w:pageBreakBefore w:val="0"/>
        <w:kinsoku/>
        <w:overflowPunct/>
        <w:topLinePunct w:val="0"/>
        <w:autoSpaceDE/>
        <w:autoSpaceDN/>
        <w:bidi w:val="0"/>
        <w:spacing w:before="0" w:beforeAutospacing="0" w:after="0" w:afterAutospacing="0" w:line="540" w:lineRule="exact"/>
        <w:ind w:left="0" w:leftChars="0" w:firstLine="565" w:firstLineChars="202"/>
        <w:rPr>
          <w:rFonts w:hint="eastAsia" w:ascii="仿宋_GB2312" w:hAnsi="仿宋_GB2312" w:eastAsia="仿宋_GB2312" w:cs="仿宋_GB2312"/>
          <w:color w:val="0000FF"/>
          <w:sz w:val="28"/>
          <w:szCs w:val="28"/>
          <w:highlight w:val="none"/>
          <w:u w:val="single"/>
          <w:lang w:eastAsia="zh-CN"/>
        </w:rPr>
      </w:pPr>
      <w:r>
        <w:rPr>
          <w:rFonts w:hint="eastAsia" w:ascii="仿宋_GB2312" w:hAnsi="仿宋_GB2312" w:eastAsia="仿宋_GB2312" w:cs="仿宋_GB2312"/>
          <w:color w:val="auto"/>
          <w:sz w:val="28"/>
          <w:szCs w:val="28"/>
          <w:highlight w:val="none"/>
        </w:rPr>
        <w:t>3、规格品种、等级、包装、采购单价、暂定采购量等：详见合同附件一</w:t>
      </w:r>
      <w:r>
        <w:rPr>
          <w:rFonts w:hint="eastAsia" w:ascii="仿宋_GB2312" w:hAnsi="仿宋_GB2312" w:eastAsia="仿宋_GB2312" w:cs="仿宋_GB2312"/>
          <w:color w:val="auto"/>
          <w:sz w:val="28"/>
          <w:szCs w:val="28"/>
          <w:highlight w:val="none"/>
          <w:lang w:val="en-US" w:eastAsia="zh-CN"/>
        </w:rPr>
        <w:t>清单</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采购单价包含：产品送达供货地点入模前的所有费用，包括但不限于产品成本(含乙方利润)、运输费用(含装卸费)、运输损耗、保险费、协调费及所有其它费用。</w:t>
      </w:r>
      <w:r>
        <w:rPr>
          <w:rFonts w:hint="eastAsia" w:ascii="方正仿宋_GB2312" w:hAnsi="方正仿宋_GB2312" w:eastAsia="方正仿宋_GB2312" w:cs="方正仿宋_GB2312"/>
          <w:color w:val="0000FF"/>
          <w:sz w:val="24"/>
          <w:szCs w:val="24"/>
          <w:highlight w:val="none"/>
          <w:u w:val="single"/>
        </w:rPr>
        <w:t xml:space="preserve"> </w:t>
      </w:r>
    </w:p>
    <w:p w14:paraId="20E67B6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4、发票要求：由乙方提供发票，发票要求是增值税专用发票 。</w:t>
      </w:r>
    </w:p>
    <w:p w14:paraId="293A231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5、实际供货月份混凝土信息价与基期(2026年5月(下半月刊))《南宁建设工程造价信息》相应价格信息的涨跌比例进行调整，涨跌的幅度在±7%（含)之内不予调整,超出±7%部分价格调差计入结算款。</w:t>
      </w:r>
    </w:p>
    <w:p w14:paraId="769E63E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、价格调整：  无     。</w:t>
      </w:r>
    </w:p>
    <w:p w14:paraId="2E0336A6">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color w:val="auto"/>
          <w:sz w:val="28"/>
          <w:szCs w:val="28"/>
          <w:highlight w:val="none"/>
          <w:lang w:val="en-US" w:eastAsia="zh-CN"/>
        </w:rPr>
        <w:t>7</w:t>
      </w:r>
      <w:r>
        <w:rPr>
          <w:rFonts w:hint="eastAsia" w:ascii="仿宋_GB2312" w:hAnsi="仿宋_GB2312" w:eastAsia="仿宋_GB2312" w:cs="仿宋_GB2312"/>
          <w:color w:val="auto"/>
          <w:sz w:val="28"/>
          <w:szCs w:val="28"/>
          <w:highlight w:val="none"/>
        </w:rPr>
        <w:t>、合同暂定金额：（大写）人民币</w:t>
      </w:r>
      <w:r>
        <w:rPr>
          <w:rFonts w:hint="eastAsia" w:ascii="仿宋_GB2312" w:hAnsi="仿宋_GB2312" w:eastAsia="仿宋_GB2312" w:cs="仿宋_GB2312"/>
          <w:color w:val="auto"/>
          <w:sz w:val="28"/>
          <w:szCs w:val="28"/>
          <w:highlight w:val="none"/>
          <w:u w:val="single"/>
        </w:rPr>
        <w:t xml:space="preserve">              （￥      ），</w:t>
      </w:r>
      <w:r>
        <w:rPr>
          <w:rFonts w:hint="eastAsia" w:ascii="仿宋_GB2312" w:hAnsi="仿宋_GB2312" w:eastAsia="仿宋_GB2312" w:cs="仿宋_GB2312"/>
          <w:bCs/>
          <w:color w:val="auto"/>
          <w:sz w:val="28"/>
          <w:szCs w:val="28"/>
          <w:highlight w:val="none"/>
        </w:rPr>
        <w:t>除税总价为：</w:t>
      </w:r>
      <w:r>
        <w:rPr>
          <w:rFonts w:hint="eastAsia" w:ascii="仿宋_GB2312" w:hAnsi="仿宋_GB2312" w:eastAsia="仿宋_GB2312" w:cs="仿宋_GB2312"/>
          <w:color w:val="auto"/>
          <w:kern w:val="0"/>
          <w:sz w:val="28"/>
          <w:szCs w:val="28"/>
          <w:highlight w:val="none"/>
          <w:u w:val="single"/>
        </w:rPr>
        <w:t>￥        元</w:t>
      </w:r>
      <w:r>
        <w:rPr>
          <w:rFonts w:hint="eastAsia" w:ascii="仿宋_GB2312" w:hAnsi="仿宋_GB2312" w:eastAsia="仿宋_GB2312" w:cs="仿宋_GB2312"/>
          <w:bCs/>
          <w:color w:val="auto"/>
          <w:sz w:val="28"/>
          <w:szCs w:val="28"/>
          <w:highlight w:val="none"/>
        </w:rPr>
        <w:t>，增值税为：</w:t>
      </w:r>
      <w:r>
        <w:rPr>
          <w:rFonts w:hint="eastAsia" w:ascii="仿宋_GB2312" w:hAnsi="仿宋_GB2312" w:eastAsia="仿宋_GB2312" w:cs="仿宋_GB2312"/>
          <w:color w:val="auto"/>
          <w:kern w:val="0"/>
          <w:sz w:val="28"/>
          <w:szCs w:val="28"/>
          <w:highlight w:val="none"/>
          <w:u w:val="single"/>
        </w:rPr>
        <w:t>￥</w:t>
      </w:r>
      <w:r>
        <w:rPr>
          <w:rFonts w:hint="eastAsia" w:ascii="仿宋_GB2312" w:hAnsi="仿宋_GB2312" w:eastAsia="仿宋_GB2312" w:cs="仿宋_GB2312"/>
          <w:bCs/>
          <w:color w:val="auto"/>
          <w:kern w:val="0"/>
          <w:sz w:val="28"/>
          <w:szCs w:val="28"/>
          <w:highlight w:val="none"/>
          <w:u w:val="single"/>
        </w:rPr>
        <w:t xml:space="preserve">          </w:t>
      </w:r>
      <w:r>
        <w:rPr>
          <w:rFonts w:hint="eastAsia" w:ascii="仿宋_GB2312" w:hAnsi="仿宋_GB2312" w:eastAsia="仿宋_GB2312" w:cs="仿宋_GB2312"/>
          <w:color w:val="auto"/>
          <w:sz w:val="28"/>
          <w:szCs w:val="28"/>
          <w:highlight w:val="none"/>
          <w:u w:val="single"/>
        </w:rPr>
        <w:t>元）</w:t>
      </w:r>
      <w:r>
        <w:rPr>
          <w:rFonts w:hint="eastAsia" w:ascii="仿宋_GB2312" w:hAnsi="仿宋_GB2312" w:eastAsia="仿宋_GB2312" w:cs="仿宋_GB2312"/>
          <w:bCs/>
          <w:color w:val="auto"/>
          <w:sz w:val="28"/>
          <w:szCs w:val="28"/>
          <w:highlight w:val="none"/>
        </w:rPr>
        <w:t>。合同总价为含税价，税率为</w:t>
      </w:r>
      <w:r>
        <w:rPr>
          <w:rFonts w:hint="eastAsia" w:ascii="仿宋_GB2312" w:hAnsi="仿宋_GB2312" w:eastAsia="仿宋_GB2312" w:cs="仿宋_GB2312"/>
          <w:bCs/>
          <w:color w:val="auto"/>
          <w:sz w:val="28"/>
          <w:szCs w:val="28"/>
          <w:highlight w:val="none"/>
          <w:u w:val="single"/>
        </w:rPr>
        <w:t xml:space="preserve">     %</w:t>
      </w:r>
      <w:r>
        <w:rPr>
          <w:rFonts w:hint="eastAsia" w:ascii="仿宋_GB2312" w:hAnsi="仿宋_GB2312" w:eastAsia="仿宋_GB2312" w:cs="仿宋_GB2312"/>
          <w:bCs/>
          <w:color w:val="auto"/>
          <w:sz w:val="28"/>
          <w:szCs w:val="28"/>
          <w:highlight w:val="none"/>
        </w:rPr>
        <w:t>，增值税和税率随着国家或地区政策的调整而调整。</w:t>
      </w:r>
    </w:p>
    <w:p w14:paraId="760EFB9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8、</w:t>
      </w:r>
      <w:r>
        <w:rPr>
          <w:rFonts w:hint="eastAsia" w:ascii="仿宋_GB2312" w:hAnsi="仿宋_GB2312" w:eastAsia="仿宋_GB2312" w:cs="仿宋_GB2312"/>
          <w:bCs/>
          <w:color w:val="auto"/>
          <w:sz w:val="28"/>
          <w:szCs w:val="28"/>
          <w:highlight w:val="none"/>
        </w:rPr>
        <w:t>甲方向乙方提出增加供应物资内容</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包括内容和数量</w:t>
      </w:r>
      <w:r>
        <w:rPr>
          <w:rFonts w:hint="eastAsia" w:ascii="仿宋_GB2312" w:hAnsi="仿宋_GB2312" w:eastAsia="仿宋_GB2312" w:cs="仿宋_GB2312"/>
          <w:bCs/>
          <w:color w:val="auto"/>
          <w:sz w:val="28"/>
          <w:szCs w:val="28"/>
          <w:highlight w:val="none"/>
          <w:lang w:eastAsia="zh-CN"/>
        </w:rPr>
        <w:t>）</w:t>
      </w:r>
      <w:r>
        <w:rPr>
          <w:rFonts w:hint="eastAsia" w:ascii="仿宋_GB2312" w:hAnsi="仿宋_GB2312" w:eastAsia="仿宋_GB2312" w:cs="仿宋_GB2312"/>
          <w:bCs/>
          <w:color w:val="auto"/>
          <w:sz w:val="28"/>
          <w:szCs w:val="28"/>
          <w:highlight w:val="none"/>
        </w:rPr>
        <w:t>，乙方应无条件服从并按甲方的要求配合完成供应。</w:t>
      </w:r>
    </w:p>
    <w:p w14:paraId="62B98396">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lang w:val="en-US" w:eastAsia="zh-CN"/>
        </w:rPr>
        <w:t>9、</w:t>
      </w:r>
      <w:r>
        <w:rPr>
          <w:rFonts w:hint="eastAsia" w:ascii="仿宋_GB2312" w:hAnsi="仿宋_GB2312" w:eastAsia="仿宋_GB2312" w:cs="仿宋_GB2312"/>
          <w:bCs/>
          <w:color w:val="auto"/>
          <w:sz w:val="28"/>
          <w:szCs w:val="28"/>
          <w:highlight w:val="none"/>
        </w:rPr>
        <w:t>乙方应根据合同中已确定单价的内容提供确保质量要求的物资（包括材料或设备的内容和数量），如有新增内容，双方另行协商确定单价，并可根据实际发生的数量提出结算和支付申请。</w:t>
      </w:r>
    </w:p>
    <w:p w14:paraId="58799257">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二、供货时间及数量</w:t>
      </w:r>
    </w:p>
    <w:p w14:paraId="5CBAD7A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1、甲方指定供货通知人：</w:t>
      </w:r>
      <w:r>
        <w:rPr>
          <w:rFonts w:hint="eastAsia" w:ascii="仿宋_GB2312" w:hAnsi="仿宋_GB2312" w:eastAsia="仿宋_GB2312" w:cs="仿宋_GB2312"/>
          <w:color w:val="auto"/>
          <w:sz w:val="28"/>
          <w:szCs w:val="28"/>
          <w:highlight w:val="none"/>
          <w:u w:val="single"/>
        </w:rPr>
        <w:t xml:space="preserve">甲方项目负责人（须为公司在册项目管理人员）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 xml:space="preserve"> ，其他人员通知无效。</w:t>
      </w:r>
    </w:p>
    <w:p w14:paraId="563394B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2、本合同甲方经办人：</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 电 话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rPr>
        <w:t xml:space="preserve"> , 负责发送“供货通知书”给乙方，以及本合同的供货协调和管控。</w:t>
      </w:r>
    </w:p>
    <w:p w14:paraId="5CF95A8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3、计划供货时间：从</w:t>
      </w:r>
      <w:r>
        <w:rPr>
          <w:rFonts w:hint="eastAsia" w:ascii="仿宋_GB2312" w:hAnsi="仿宋_GB2312" w:eastAsia="仿宋_GB2312" w:cs="仿宋_GB2312"/>
          <w:color w:val="auto"/>
          <w:sz w:val="28"/>
          <w:szCs w:val="28"/>
          <w:highlight w:val="none"/>
          <w:lang w:val="en-US" w:eastAsia="zh-CN"/>
        </w:rPr>
        <w:t>2026</w:t>
      </w:r>
      <w:r>
        <w:rPr>
          <w:rFonts w:hint="eastAsia" w:ascii="仿宋_GB2312" w:hAnsi="仿宋_GB2312" w:eastAsia="仿宋_GB2312" w:cs="仿宋_GB2312"/>
          <w:color w:val="auto"/>
          <w:sz w:val="28"/>
          <w:szCs w:val="28"/>
          <w:highlight w:val="none"/>
        </w:rPr>
        <w:t>年</w:t>
      </w:r>
      <w:r>
        <w:rPr>
          <w:rFonts w:hint="eastAsia" w:ascii="仿宋_GB2312" w:hAnsi="仿宋_GB2312" w:eastAsia="仿宋_GB2312" w:cs="仿宋_GB2312"/>
          <w:color w:val="auto"/>
          <w:sz w:val="28"/>
          <w:szCs w:val="28"/>
          <w:highlight w:val="none"/>
          <w:lang w:val="en-US" w:eastAsia="zh-CN"/>
        </w:rPr>
        <w:t>10</w:t>
      </w:r>
      <w:r>
        <w:rPr>
          <w:rFonts w:hint="eastAsia" w:ascii="仿宋_GB2312" w:hAnsi="仿宋_GB2312" w:eastAsia="仿宋_GB2312" w:cs="仿宋_GB2312"/>
          <w:color w:val="auto"/>
          <w:sz w:val="28"/>
          <w:szCs w:val="28"/>
          <w:highlight w:val="none"/>
        </w:rPr>
        <w:t>月</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日起至本工程竣工验收合格交付止</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（实际供货时间以甲方项目部通知为准）</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每批次材料供货周期必须小于或等于2天</w:t>
      </w:r>
      <w:r>
        <w:rPr>
          <w:rFonts w:hint="eastAsia" w:ascii="仿宋_GB2312" w:hAnsi="仿宋_GB2312" w:eastAsia="仿宋_GB2312" w:cs="仿宋_GB2312"/>
          <w:color w:val="auto"/>
          <w:sz w:val="28"/>
          <w:szCs w:val="28"/>
          <w:highlight w:val="none"/>
        </w:rPr>
        <w:t>。</w:t>
      </w:r>
    </w:p>
    <w:p w14:paraId="7D6C330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4、供货数量</w:t>
      </w:r>
    </w:p>
    <w:p w14:paraId="25D3FCF5">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混凝土的计量按每立方米混凝土2400 kg ( 公差±2%)的容重计算。乙方在运输车辆出料口设置保险扣，待运输车辆运至现场经甲方与乙方确认才可以开保险扣，如到现场出料口保险扣缺失或损坏，甲方将不予确认</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由乙方作退回处理。</w:t>
      </w:r>
    </w:p>
    <w:p w14:paraId="5F85C03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4.2原则上每台运输罐车进场均须完整执行进场毛重、卸料完成后空车皮重过磅，按车辆实际净重换算混凝土方量作为该车次结算依据。无法做到车车过磅时，甲方有权自主决定采取随机抽检机制，抽检车辆、抽检时段、抽检频次、单次抽检车辆数量全部由甲方自主确定，无须提前告知乙方，不设定任何固定抽检比例，乙方不得提出异议并须无条件配合过磅。</w:t>
      </w:r>
    </w:p>
    <w:p w14:paraId="56E5DDD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4.3 单车亏方率计算公式：单车亏方率＝［1－（抽检该车毛重÷该车发货单标称毛重）］×100%。单车亏方率＞2%即视为该车次发生计量违约，该车直接按过磅实测方量结算，本次过磅产生的全部称重费用由乙方承担；同时乙方向甲方支付该车次混凝土货款5%的违约金，甲方有权直接从当期货款中抵扣。同一自然月供货过程中，累计出现3次及以上单车亏方率＞2%的，直接视为乙方严重计量违约：当月全部供货量均以该月所有抽检车辆的平均亏方率进行同比例扣减结算方量；全部过磅费用由乙方承担；乙方另向甲方支付该月供货总价款10%的违约金，甲方有权直接从当期货款中抵扣。发生严重计量违约情形时，甲方有权单方暂停支付全部未结货款、调减或取消乙方后续供货计划、缩减供货份额，亦有权不经催告单方解除本合同，乙方还应当赔偿因此给甲方造成的停工、赶工、另行采购差价等全部损失。</w:t>
      </w:r>
    </w:p>
    <w:p w14:paraId="7C5F564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4.4 甲方可根据管理需要，选取任意时段的抽检样本计算该时段净重率＝（∑抽检实际净重 ÷ ∑实际发货单标称净重）×100%，并以该净重率作为该时段内全部供货车辆的统一结算系数；该时段全部发货单标称方量乘以该净重率，即为该时段最终结算方</w:t>
      </w:r>
      <w:bookmarkStart w:id="0" w:name="_GoBack"/>
      <w:bookmarkEnd w:id="0"/>
      <w:r>
        <w:rPr>
          <w:rFonts w:hint="eastAsia" w:ascii="仿宋_GB2312" w:hAnsi="仿宋_GB2312" w:eastAsia="仿宋_GB2312" w:cs="仿宋_GB2312"/>
          <w:color w:val="auto"/>
          <w:sz w:val="28"/>
          <w:szCs w:val="28"/>
          <w:highlight w:val="none"/>
        </w:rPr>
        <w:t>量。甲方有权自主划分“时段”（可以是单日、数日、整周、整月或任意连续供货批次），划分标准无须征得乙方同意。无论乙方发货单标称方量数值，最终结算供货方量均以本条款核算结果为准。</w:t>
      </w:r>
    </w:p>
    <w:p w14:paraId="58415EDA">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lang w:val="en-US" w:eastAsia="zh-CN"/>
        </w:rPr>
        <w:t>5</w:t>
      </w:r>
      <w:r>
        <w:rPr>
          <w:rFonts w:hint="eastAsia" w:ascii="仿宋_GB2312" w:hAnsi="仿宋_GB2312" w:eastAsia="仿宋_GB2312" w:cs="仿宋_GB2312"/>
          <w:color w:val="auto"/>
          <w:sz w:val="28"/>
          <w:szCs w:val="28"/>
          <w:highlight w:val="none"/>
        </w:rPr>
        <w:t>当每批供货因数量误差出现争议时，甲、乙方应于24小时内协商解决，如任何一方不积极配合解决的，由不配合方承担全部责任。</w:t>
      </w:r>
    </w:p>
    <w:p w14:paraId="31715D0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w:t>
      </w:r>
      <w:r>
        <w:rPr>
          <w:rFonts w:hint="eastAsia" w:ascii="仿宋_GB2312" w:hAnsi="仿宋_GB2312" w:eastAsia="仿宋_GB2312" w:cs="仿宋_GB2312"/>
          <w:color w:val="auto"/>
          <w:sz w:val="28"/>
          <w:szCs w:val="28"/>
          <w:highlight w:val="none"/>
          <w:lang w:val="en-US" w:eastAsia="zh-CN"/>
        </w:rPr>
        <w:t>6</w:t>
      </w:r>
      <w:r>
        <w:rPr>
          <w:rFonts w:hint="eastAsia" w:ascii="仿宋_GB2312" w:hAnsi="仿宋_GB2312" w:eastAsia="仿宋_GB2312" w:cs="仿宋_GB2312"/>
          <w:color w:val="auto"/>
          <w:sz w:val="28"/>
          <w:szCs w:val="28"/>
          <w:highlight w:val="none"/>
        </w:rPr>
        <w:t xml:space="preserve">润泵砂浆按当次浇筑同等级混凝土单价计算。 </w:t>
      </w:r>
    </w:p>
    <w:p w14:paraId="1AAD75B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三、质量标准、进场验收、资质资料、合格证明</w:t>
      </w:r>
    </w:p>
    <w:p w14:paraId="36F293E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1、验收标准：乙方所供的混凝土必须满足中华人民共和国国家标</w:t>
      </w:r>
    </w:p>
    <w:p w14:paraId="417C149F">
      <w:pPr>
        <w:keepNext w:val="0"/>
        <w:keepLines w:val="0"/>
        <w:pageBreakBefore w:val="0"/>
        <w:kinsoku/>
        <w:wordWrap/>
        <w:overflowPunct/>
        <w:topLinePunct w:val="0"/>
        <w:autoSpaceDE/>
        <w:autoSpaceDN/>
        <w:bidi w:val="0"/>
        <w:adjustRightInd/>
        <w:snapToGrid/>
        <w:spacing w:line="440" w:lineRule="exact"/>
        <w:ind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GB/T14902-2012《预拌混凝土》的要求。</w:t>
      </w:r>
    </w:p>
    <w:p w14:paraId="0D4DE8D8">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2、验收方法：以现场交货检验结果作为初步判定混凝土质量的依据，但最终结果应以所供混凝土试块检测合格报告为准。具体做法为：</w:t>
      </w:r>
    </w:p>
    <w:p w14:paraId="71A0490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2.1由甲、乙方试验人员在交货地点按照GB/T14902-2012《预拌混凝土》的要求取样，进行坍落度检测及制作试块，甲、乙方试验人员须持证上岗。取样检测坍落度及制作试块时，由甲方、乙方现场随机抽检，并由乙方人员负责现场做试块，甲方及监理旁站监督。试块由甲方、乙方共同委托建设方认可的有资质的检测机构检测。检测费用由建设方承担。试块检验时，乙方可派试验人员在场，甲方抽样结果可作为混凝土质量依据。对不符合合同要求和验收标准的混凝土甲方有权拒收和退货。</w:t>
      </w:r>
    </w:p>
    <w:p w14:paraId="7EFE684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2.2混凝土强度的评定按国家标准GB/T50107-2010 的规定进行。混凝土的抗渗等级评定按国家标准GB/T50082-2009《普通混凝土长期性能和耐久性能试验方法》的规定进行。</w:t>
      </w:r>
    </w:p>
    <w:p w14:paraId="3E89EF2B">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2.3如混凝土的试块评定不合格，则由建设方、甲方、乙方三方另行协商委托有资质的检测单位进行实体鉴定，如鉴定合格，检验费用由建设方承担。经鉴定仍不合格，检测费用由乙方承担，需进行结构处理时，乙方承担因供应混凝土质量不合格造成的工期延误及发生的一切费用损失(包括但不限于律师代理费、诉讼费、甲方对客户的赔款等),并依据本合同第七条的规定承担相应的违约责任。</w:t>
      </w:r>
    </w:p>
    <w:p w14:paraId="337C594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2.4如乙方现场发现有甲方施工人员要求用加水形式调整坍落度，应马上联系甲方现场确认，留下现场书面证据。如浇筑完成后才相应提及，视为无效诉求。因工地施工不规范，随意加水所引起的后果，由甲方负全责。</w:t>
      </w:r>
    </w:p>
    <w:p w14:paraId="361D3696">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提供相关的资质资料，以及产品合格证明：生产厂家营业执照(复印件)、生产厂家生产许可证(复印件)。商品混凝土配合比报告原件；商品混凝土出厂合格证原件；出现退货时提供商品混凝土退货确认表原件。按所供各类品种、标号一式四份分别提供，复印件要求每页加盖生产厂家或供货商公章或骑缝章。</w:t>
      </w:r>
    </w:p>
    <w:p w14:paraId="2FF208B6">
      <w:pPr>
        <w:keepNext w:val="0"/>
        <w:keepLines w:val="0"/>
        <w:pageBreakBefore w:val="0"/>
        <w:kinsoku/>
        <w:wordWrap/>
        <w:overflowPunct/>
        <w:topLinePunct w:val="0"/>
        <w:autoSpaceDE/>
        <w:autoSpaceDN/>
        <w:bidi w:val="0"/>
        <w:adjustRightInd/>
        <w:snapToGrid/>
        <w:spacing w:line="440" w:lineRule="exact"/>
        <w:ind w:right="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四、交货地点、交货方式、收货签认、送货单要求：</w:t>
      </w:r>
    </w:p>
    <w:p w14:paraId="4A3AA91E">
      <w:pPr>
        <w:keepNext w:val="0"/>
        <w:keepLines w:val="0"/>
        <w:pageBreakBefore w:val="0"/>
        <w:kinsoku/>
        <w:wordWrap/>
        <w:overflowPunct/>
        <w:topLinePunct w:val="0"/>
        <w:autoSpaceDE/>
        <w:autoSpaceDN/>
        <w:bidi w:val="0"/>
        <w:spacing w:afterAutospacing="0" w:line="440" w:lineRule="exact"/>
        <w:ind w:left="0" w:leftChars="0"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1、甲方根据实际采购需求将采购的材料信息以“</w:t>
      </w:r>
      <w:r>
        <w:rPr>
          <w:rFonts w:hint="eastAsia" w:ascii="仿宋_GB2312" w:hAnsi="仿宋_GB2312" w:eastAsia="仿宋_GB2312" w:cs="仿宋_GB2312"/>
          <w:color w:val="auto"/>
          <w:sz w:val="28"/>
          <w:szCs w:val="28"/>
          <w:highlight w:val="none"/>
          <w:u w:val="single"/>
        </w:rPr>
        <w:t>供货通知”形式</w:t>
      </w:r>
      <w:r>
        <w:rPr>
          <w:rFonts w:hint="eastAsia" w:ascii="仿宋_GB2312" w:hAnsi="仿宋_GB2312" w:eastAsia="仿宋_GB2312" w:cs="仿宋_GB2312"/>
          <w:color w:val="auto"/>
          <w:sz w:val="28"/>
          <w:szCs w:val="28"/>
          <w:highlight w:val="none"/>
        </w:rPr>
        <w:t>（</w:t>
      </w:r>
      <w:r>
        <w:rPr>
          <w:rFonts w:hint="eastAsia" w:ascii="仿宋_GB2312" w:hAnsi="仿宋_GB2312" w:eastAsia="仿宋_GB2312" w:cs="仿宋_GB2312"/>
          <w:color w:val="auto"/>
          <w:sz w:val="28"/>
          <w:szCs w:val="28"/>
          <w:highlight w:val="none"/>
          <w:u w:val="single"/>
        </w:rPr>
        <w:t>详见合同附件三）提交乙方，甲方应在“供货通知”中明确材料的产品名称、规格型号、数量、到货日期、工程项目、送货地址、收货人及联系方式等</w:t>
      </w:r>
      <w:r>
        <w:rPr>
          <w:rFonts w:hint="eastAsia" w:ascii="仿宋_GB2312" w:hAnsi="仿宋_GB2312" w:eastAsia="仿宋_GB2312" w:cs="仿宋_GB2312"/>
          <w:color w:val="auto"/>
          <w:sz w:val="28"/>
          <w:szCs w:val="28"/>
          <w:highlight w:val="none"/>
        </w:rPr>
        <w:t>。</w:t>
      </w:r>
    </w:p>
    <w:p w14:paraId="64E593F5">
      <w:pPr>
        <w:keepNext w:val="0"/>
        <w:keepLines w:val="0"/>
        <w:pageBreakBefore w:val="0"/>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2、交货方式：</w:t>
      </w:r>
      <w:r>
        <w:rPr>
          <w:rFonts w:hint="eastAsia" w:ascii="仿宋_GB2312" w:hAnsi="仿宋_GB2312" w:eastAsia="仿宋_GB2312" w:cs="仿宋_GB2312"/>
          <w:color w:val="auto"/>
          <w:sz w:val="28"/>
          <w:szCs w:val="28"/>
          <w:highlight w:val="none"/>
          <w:u w:val="single"/>
        </w:rPr>
        <w:t>乙方负责根据甲方的“供货通知”将材料运至甲方指定地点并负责卸货。卸货过程中的机具、人工、安全防护及相关费用由乙方承担，卸货期间发生的人身伤害及财产损失由乙方自行承担。卸完清点前，货物的损毁、灭失风险由乙方承担。卸完清点后，甲乙双方就每一次供货的材料数量进行签认，以双方签字并盖章确认的实际供货数量作为支付依据和结算依据。</w:t>
      </w:r>
    </w:p>
    <w:p w14:paraId="251217B9">
      <w:pPr>
        <w:keepNext w:val="0"/>
        <w:keepLines w:val="0"/>
        <w:pageBreakBefore w:val="0"/>
        <w:kinsoku/>
        <w:wordWrap/>
        <w:overflowPunct/>
        <w:topLinePunct w:val="0"/>
        <w:autoSpaceDE/>
        <w:autoSpaceDN/>
        <w:bidi w:val="0"/>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3、收货签认</w:t>
      </w:r>
    </w:p>
    <w:p w14:paraId="6C628A6C">
      <w:pPr>
        <w:keepNext w:val="0"/>
        <w:keepLines w:val="0"/>
        <w:pageBreakBefore w:val="0"/>
        <w:kinsoku/>
        <w:wordWrap/>
        <w:overflowPunct/>
        <w:topLinePunct w:val="0"/>
        <w:autoSpaceDE/>
        <w:autoSpaceDN/>
        <w:bidi w:val="0"/>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（1）甲方指定收货人（即供货通知的收货人）：该人员负责验货、收货、签字确认供货情况和数量。</w:t>
      </w:r>
    </w:p>
    <w:p w14:paraId="33228C34">
      <w:pPr>
        <w:keepNext w:val="0"/>
        <w:keepLines w:val="0"/>
        <w:pageBreakBefore w:val="0"/>
        <w:kinsoku/>
        <w:wordWrap/>
        <w:overflowPunct/>
        <w:topLinePunct w:val="0"/>
        <w:autoSpaceDE/>
        <w:autoSpaceDN/>
        <w:bidi w:val="0"/>
        <w:spacing w:afterAutospacing="0" w:line="440" w:lineRule="exact"/>
        <w:ind w:right="0" w:rightChars="0" w:firstLine="560" w:firstLineChars="20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（2）甲方指定项目负责人（即供货通知的项目负责人）：负责工程项目的供货协调和管控，对供货情况和供货数量进行项目部级别的最终签字确认。 </w:t>
      </w:r>
    </w:p>
    <w:p w14:paraId="7DA9753E">
      <w:pPr>
        <w:keepNext w:val="0"/>
        <w:keepLines w:val="0"/>
        <w:pageBreakBefore w:val="0"/>
        <w:kinsoku/>
        <w:wordWrap/>
        <w:overflowPunct/>
        <w:topLinePunct w:val="0"/>
        <w:autoSpaceDE/>
        <w:autoSpaceDN/>
        <w:bidi w:val="0"/>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（3）乙方业务负责人：</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，电话：</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u w:val="single"/>
          <w:lang w:val="en-US" w:eastAsia="zh-CN"/>
        </w:rPr>
        <w:t xml:space="preserve">   </w:t>
      </w:r>
      <w:r>
        <w:rPr>
          <w:rFonts w:hint="eastAsia" w:ascii="仿宋_GB2312" w:hAnsi="仿宋_GB2312" w:eastAsia="仿宋_GB2312" w:cs="仿宋_GB2312"/>
          <w:color w:val="auto"/>
          <w:sz w:val="28"/>
          <w:szCs w:val="28"/>
          <w:highlight w:val="none"/>
          <w:u w:val="single"/>
        </w:rPr>
        <w:t xml:space="preserve"> </w:t>
      </w:r>
      <w:r>
        <w:rPr>
          <w:rFonts w:hint="eastAsia" w:ascii="仿宋_GB2312" w:hAnsi="仿宋_GB2312" w:eastAsia="仿宋_GB2312" w:cs="仿宋_GB2312"/>
          <w:color w:val="auto"/>
          <w:sz w:val="28"/>
          <w:szCs w:val="28"/>
          <w:highlight w:val="none"/>
        </w:rPr>
        <w:t>，负责工程供货协调和管控，对供货情况和供货数量进行乙方公司级的最终签字确认。</w:t>
      </w:r>
    </w:p>
    <w:p w14:paraId="5511EDCC">
      <w:pPr>
        <w:keepNext w:val="0"/>
        <w:keepLines w:val="0"/>
        <w:pageBreakBefore w:val="0"/>
        <w:kinsoku/>
        <w:wordWrap/>
        <w:overflowPunct/>
        <w:topLinePunct w:val="0"/>
        <w:autoSpaceDE/>
        <w:autoSpaceDN/>
        <w:bidi w:val="0"/>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（4）乙方配送材料或设备到交货地点时，应随货配送送货原始单据给甲方。</w:t>
      </w:r>
    </w:p>
    <w:p w14:paraId="083999AA">
      <w:pPr>
        <w:keepNext w:val="0"/>
        <w:keepLines w:val="0"/>
        <w:pageBreakBefore w:val="0"/>
        <w:kinsoku/>
        <w:wordWrap/>
        <w:overflowPunct/>
        <w:topLinePunct w:val="0"/>
        <w:autoSpaceDE/>
        <w:autoSpaceDN/>
        <w:bidi w:val="0"/>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甲方只对合同约定的甲方指定收货人、甲方项目负责人在送货原始单据签字确认的材料或设备数量给予确认，单价按双方签订的合同或合同补充协议约定的单价执行。</w:t>
      </w:r>
    </w:p>
    <w:p w14:paraId="761E79C0">
      <w:pPr>
        <w:keepNext w:val="0"/>
        <w:keepLines w:val="0"/>
        <w:pageBreakBefore w:val="0"/>
        <w:kinsoku/>
        <w:wordWrap/>
        <w:overflowPunct/>
        <w:topLinePunct w:val="0"/>
        <w:autoSpaceDE/>
        <w:autoSpaceDN/>
        <w:bidi w:val="0"/>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送货原始单据（收货联和送货联）应在验货、收货当天签认，逾期则无效。</w:t>
      </w:r>
    </w:p>
    <w:p w14:paraId="0787AFC4">
      <w:pPr>
        <w:keepNext w:val="0"/>
        <w:keepLines w:val="0"/>
        <w:pageBreakBefore w:val="0"/>
        <w:kinsoku/>
        <w:wordWrap/>
        <w:overflowPunct/>
        <w:topLinePunct w:val="0"/>
        <w:autoSpaceDE/>
        <w:autoSpaceDN/>
        <w:bidi w:val="0"/>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除甲方指定收货人、甲方项目负责人之外的甲方任何个人在送货原始单据或其他单据上签字或盖章均属无效，乙方不得以此要求甲方支付任何款项或承担任何责任。</w:t>
      </w:r>
    </w:p>
    <w:p w14:paraId="6A7BDCE5">
      <w:pPr>
        <w:keepNext w:val="0"/>
        <w:keepLines w:val="0"/>
        <w:pageBreakBefore w:val="0"/>
        <w:kinsoku/>
        <w:wordWrap/>
        <w:overflowPunct/>
        <w:topLinePunct w:val="0"/>
        <w:autoSpaceDE/>
        <w:autoSpaceDN/>
        <w:bidi w:val="0"/>
        <w:spacing w:afterAutospacing="0" w:line="440" w:lineRule="exact"/>
        <w:ind w:left="0" w:leftChars="0" w:right="0" w:rightChars="0" w:firstLine="495" w:firstLineChars="177"/>
        <w:jc w:val="left"/>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（5）如现场进行计算量的收方，甲乙双方须当天签认原始收方记录，逾期则无效。最终送货数量以原始收方记录为准。</w:t>
      </w:r>
    </w:p>
    <w:p w14:paraId="121FB932">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4、送货原始单据一式三联的基本要素：</w:t>
      </w:r>
    </w:p>
    <w:p w14:paraId="09B68AE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（1）甲方名称“南宁轨道地产建筑工程有限责任公司” </w:t>
      </w:r>
    </w:p>
    <w:p w14:paraId="379488D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（2）乙方名称（全称）、盖章</w:t>
      </w:r>
    </w:p>
    <w:p w14:paraId="7B20DC1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（3）项目名称（全称）</w:t>
      </w:r>
    </w:p>
    <w:p w14:paraId="6871A4A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（4）合同编号、合同名称（全称）</w:t>
      </w:r>
    </w:p>
    <w:p w14:paraId="50E411E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（5）送货日期</w:t>
      </w:r>
    </w:p>
    <w:p w14:paraId="5259616F">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（6）物资名称、规格型号、计量单位、单价（含税）、数量、小计金额（含税）、合计金额（含税）</w:t>
      </w:r>
    </w:p>
    <w:p w14:paraId="09099183">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（7）甲方指定收货人签字、项目经理签字、乙方业务负责人签字。</w:t>
      </w:r>
    </w:p>
    <w:p w14:paraId="46B898B8">
      <w:pPr>
        <w:keepNext w:val="0"/>
        <w:keepLines w:val="0"/>
        <w:pageBreakBefore w:val="0"/>
        <w:kinsoku/>
        <w:wordWrap/>
        <w:overflowPunct/>
        <w:topLinePunct w:val="0"/>
        <w:autoSpaceDE/>
        <w:autoSpaceDN/>
        <w:bidi w:val="0"/>
        <w:adjustRightInd/>
        <w:snapToGrid/>
        <w:spacing w:line="440" w:lineRule="exact"/>
        <w:ind w:right="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5、退货</w:t>
      </w:r>
    </w:p>
    <w:p w14:paraId="72ADFA5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（1）现场施工完成后，甲方对现场剩余材料进行清点退货，乙方无条件接收。</w:t>
      </w:r>
    </w:p>
    <w:p w14:paraId="2F712558">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五、支付条件、支付方式、结算方式、发票开具及收款方账户</w:t>
      </w:r>
    </w:p>
    <w:p w14:paraId="46F0627A">
      <w:pPr>
        <w:keepNext w:val="0"/>
        <w:keepLines w:val="0"/>
        <w:pageBreakBefore w:val="0"/>
        <w:kinsoku/>
        <w:wordWrap/>
        <w:overflowPunct/>
        <w:topLinePunct w:val="0"/>
        <w:autoSpaceDE/>
        <w:autoSpaceDN/>
        <w:bidi w:val="0"/>
        <w:adjustRightInd/>
        <w:snapToGrid/>
        <w:spacing w:line="440" w:lineRule="exact"/>
        <w:ind w:right="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1、支付条件</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本合同支付条件按照下列第(1)项的约定执行，在符合合同约定的支付条件，且乙方向甲方提供与实际供货金额相符的增值税专用发票及送货单的送货联原件后(申请预付款时无需提供发票), 由甲方按乙方在本合同中提供的银行账号以转账的方式向乙方支付，否则甲方有权拒绝付款。</w:t>
      </w:r>
    </w:p>
    <w:p w14:paraId="223EF2C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(1)货到工地并经甲方相关部门验收通过后，第四个月支付第一个月供货金额的100%。</w:t>
      </w:r>
    </w:p>
    <w:p w14:paraId="4957CD44">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(2)合同签订后3个工作日内支付合同暂定金额的</w:t>
      </w:r>
      <w:r>
        <w:rPr>
          <w:rFonts w:hint="eastAsia" w:ascii="仿宋_GB2312" w:hAnsi="仿宋_GB2312" w:eastAsia="仿宋_GB2312" w:cs="仿宋_GB2312"/>
          <w:color w:val="auto"/>
          <w:sz w:val="28"/>
          <w:szCs w:val="28"/>
          <w:highlight w:val="none"/>
          <w:u w:val="single"/>
        </w:rPr>
        <w:t xml:space="preserve"> L</w:t>
      </w:r>
      <w:r>
        <w:rPr>
          <w:rFonts w:hint="eastAsia" w:ascii="仿宋_GB2312" w:hAnsi="仿宋_GB2312" w:eastAsia="仿宋_GB2312" w:cs="仿宋_GB2312"/>
          <w:color w:val="auto"/>
          <w:sz w:val="28"/>
          <w:szCs w:val="28"/>
          <w:highlight w:val="none"/>
        </w:rPr>
        <w:t xml:space="preserve"> %作为预付款；货到工地并经甲方验收合格后，扣除预付款后每月支付至上月累计供货金额的70%;供货完成并经 甲方验收合格后进行结算，完成结算审定1个月内支付至结算金额的97%;扣除结算金 额的3%作为质保金，质保期满后，乙方按要求提出申请，甲方将剩余的质保金(无息) 支付给乙方(质保金金额与甲方向乙方支付的结算金额余款合计开具发票)。</w:t>
      </w:r>
    </w:p>
    <w:p w14:paraId="68E312D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 xml:space="preserve">(3)其他：                </w:t>
      </w:r>
      <w:r>
        <w:rPr>
          <w:rFonts w:hint="eastAsia" w:ascii="仿宋_GB2312" w:hAnsi="仿宋_GB2312" w:eastAsia="仿宋_GB2312" w:cs="仿宋_GB2312"/>
          <w:color w:val="auto"/>
          <w:sz w:val="28"/>
          <w:szCs w:val="28"/>
          <w:highlight w:val="none"/>
        </w:rPr>
        <w:drawing>
          <wp:inline distT="0" distB="0" distL="114300" distR="114300">
            <wp:extent cx="38100" cy="44450"/>
            <wp:effectExtent l="0" t="0" r="0" b="1270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6"/>
                    <a:stretch>
                      <a:fillRect/>
                    </a:stretch>
                  </pic:blipFill>
                  <pic:spPr>
                    <a:xfrm>
                      <a:off x="0" y="0"/>
                      <a:ext cx="38100" cy="44450"/>
                    </a:xfrm>
                    <a:prstGeom prst="rect">
                      <a:avLst/>
                    </a:prstGeom>
                    <a:noFill/>
                    <a:ln>
                      <a:noFill/>
                    </a:ln>
                  </pic:spPr>
                </pic:pic>
              </a:graphicData>
            </a:graphic>
          </wp:inline>
        </w:drawing>
      </w:r>
      <w:r>
        <w:rPr>
          <w:rFonts w:hint="eastAsia" w:ascii="仿宋_GB2312" w:hAnsi="仿宋_GB2312" w:eastAsia="仿宋_GB2312" w:cs="仿宋_GB2312"/>
          <w:color w:val="auto"/>
          <w:sz w:val="28"/>
          <w:szCs w:val="28"/>
          <w:highlight w:val="none"/>
        </w:rPr>
        <w:t xml:space="preserve">  </w:t>
      </w:r>
    </w:p>
    <w:p w14:paraId="39ECB28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 、支付方式：公对公转账。</w:t>
      </w:r>
    </w:p>
    <w:p w14:paraId="5AFB43F0">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3、结算方式：按照合同中约定的采购单价和甲乙双方签字确认的实际供货数量进行结算，如有新增内容，双方另行协商确定单价。</w:t>
      </w:r>
    </w:p>
    <w:p w14:paraId="633DB4B1">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乙方必须按照甲方的要求完成结算审定工作并签字确认、盖章，否则甲方不予办理结算和支付余款。</w:t>
      </w:r>
    </w:p>
    <w:p w14:paraId="2723FEC2">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甲乙双方根据结算审定结果办理完成支付后，乙方不得以其他任何单据再要求甲方支付任何款项或承担任何责任。</w:t>
      </w:r>
    </w:p>
    <w:p w14:paraId="561081F0">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4、发票开具：乙方按以下信息向甲方开具增值税专用发票：</w:t>
      </w:r>
    </w:p>
    <w:p w14:paraId="627D2BAF">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单位名称：南宁轨道地产建筑工程有限责任公司</w:t>
      </w:r>
    </w:p>
    <w:p w14:paraId="44BC50C9">
      <w:pPr>
        <w:keepNext w:val="0"/>
        <w:keepLines w:val="0"/>
        <w:pageBreakBefore w:val="0"/>
        <w:kinsoku/>
        <w:wordWrap/>
        <w:overflowPunct/>
        <w:topLinePunct w:val="0"/>
        <w:autoSpaceDE/>
        <w:autoSpaceDN/>
        <w:bidi w:val="0"/>
        <w:adjustRightInd/>
        <w:snapToGrid/>
        <w:spacing w:line="440" w:lineRule="exact"/>
        <w:ind w:left="559" w:leftChars="266" w:right="0" w:firstLine="0" w:firstLineChars="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FF0000"/>
          <w:sz w:val="28"/>
          <w:szCs w:val="28"/>
          <w:highlight w:val="none"/>
        </w:rPr>
        <w:t>地址：南宁市青秀区凤岭北路111号南宁国际旅游中心3号楼38层</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开户行：中国建设银行股份有限公司南宁金湖北路支行</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账号：45001604264050702251</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税号：91450100198466905E</w:t>
      </w:r>
      <w:r>
        <w:rPr>
          <w:rFonts w:hint="eastAsia" w:ascii="仿宋_GB2312" w:hAnsi="仿宋_GB2312" w:eastAsia="仿宋_GB2312" w:cs="仿宋_GB2312"/>
          <w:color w:val="auto"/>
          <w:sz w:val="28"/>
          <w:szCs w:val="28"/>
          <w:highlight w:val="none"/>
        </w:rPr>
        <w:br w:type="textWrapping"/>
      </w:r>
      <w:r>
        <w:rPr>
          <w:rFonts w:hint="eastAsia" w:ascii="仿宋_GB2312" w:hAnsi="仿宋_GB2312" w:eastAsia="仿宋_GB2312" w:cs="仿宋_GB2312"/>
          <w:color w:val="auto"/>
          <w:sz w:val="28"/>
          <w:szCs w:val="28"/>
          <w:highlight w:val="none"/>
        </w:rPr>
        <w:t>电话：0771-5857742</w:t>
      </w:r>
    </w:p>
    <w:p w14:paraId="5EA7C2B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5、乙方收款账号：</w:t>
      </w:r>
    </w:p>
    <w:p w14:paraId="2F88C03E">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户名：</w:t>
      </w:r>
    </w:p>
    <w:p w14:paraId="6432A8EE">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7F38306F">
      <w:pPr>
        <w:keepNext w:val="0"/>
        <w:keepLines w:val="0"/>
        <w:pageBreakBefore w:val="0"/>
        <w:kinsoku/>
        <w:wordWrap/>
        <w:overflowPunct/>
        <w:topLinePunct w:val="0"/>
        <w:autoSpaceDE/>
        <w:autoSpaceDN/>
        <w:bidi w:val="0"/>
        <w:adjustRightInd/>
        <w:snapToGrid/>
        <w:spacing w:line="440" w:lineRule="exact"/>
        <w:ind w:left="0" w:leftChars="0" w:right="0" w:firstLine="610" w:firstLineChars="218"/>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2394227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六、质保金金额、质保期限、质保要求</w:t>
      </w:r>
    </w:p>
    <w:p w14:paraId="388233A9">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1、本合同质保金按照下列第（</w:t>
      </w:r>
      <w:r>
        <w:rPr>
          <w:rFonts w:hint="eastAsia" w:ascii="仿宋_GB2312" w:hAnsi="仿宋_GB2312" w:eastAsia="仿宋_GB2312" w:cs="仿宋_GB2312"/>
          <w:color w:val="auto"/>
          <w:sz w:val="28"/>
          <w:szCs w:val="28"/>
          <w:highlight w:val="none"/>
          <w:lang w:val="en-US" w:eastAsia="zh-CN"/>
        </w:rPr>
        <w:t>1</w:t>
      </w:r>
      <w:r>
        <w:rPr>
          <w:rFonts w:hint="eastAsia" w:ascii="仿宋_GB2312" w:hAnsi="仿宋_GB2312" w:eastAsia="仿宋_GB2312" w:cs="仿宋_GB2312"/>
          <w:color w:val="auto"/>
          <w:sz w:val="28"/>
          <w:szCs w:val="28"/>
          <w:highlight w:val="none"/>
        </w:rPr>
        <w:t>）项的约定执行。</w:t>
      </w:r>
    </w:p>
    <w:p w14:paraId="394EE0FD">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（1）质保金金额</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；质保期限</w:t>
      </w:r>
      <w:r>
        <w:rPr>
          <w:rFonts w:hint="eastAsia" w:ascii="仿宋_GB2312" w:hAnsi="仿宋_GB2312" w:eastAsia="仿宋_GB2312" w:cs="仿宋_GB2312"/>
          <w:color w:val="auto"/>
          <w:sz w:val="28"/>
          <w:szCs w:val="28"/>
          <w:highlight w:val="none"/>
          <w:u w:val="single"/>
        </w:rPr>
        <w:t xml:space="preserve">  无  </w:t>
      </w:r>
      <w:r>
        <w:rPr>
          <w:rFonts w:hint="eastAsia" w:ascii="仿宋_GB2312" w:hAnsi="仿宋_GB2312" w:eastAsia="仿宋_GB2312" w:cs="仿宋_GB2312"/>
          <w:color w:val="auto"/>
          <w:sz w:val="28"/>
          <w:szCs w:val="28"/>
          <w:highlight w:val="none"/>
        </w:rPr>
        <w:t xml:space="preserve">。 </w:t>
      </w:r>
    </w:p>
    <w:p w14:paraId="1039F02E">
      <w:pPr>
        <w:keepNext w:val="0"/>
        <w:keepLines w:val="0"/>
        <w:pageBreakBefore w:val="0"/>
        <w:kinsoku/>
        <w:wordWrap/>
        <w:overflowPunct/>
        <w:topLinePunct w:val="0"/>
        <w:autoSpaceDE/>
        <w:autoSpaceDN/>
        <w:bidi w:val="0"/>
        <w:adjustRightInd/>
        <w:snapToGrid/>
        <w:spacing w:line="440" w:lineRule="exact"/>
        <w:ind w:left="0" w:leftChars="0" w:right="0" w:firstLine="495" w:firstLineChars="177"/>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（2）预留结算金额的3%作为质保金；质保期限为</w:t>
      </w:r>
      <w:r>
        <w:rPr>
          <w:rFonts w:hint="eastAsia" w:ascii="仿宋_GB2312" w:hAnsi="仿宋_GB2312" w:eastAsia="仿宋_GB2312" w:cs="仿宋_GB2312"/>
          <w:color w:val="auto"/>
          <w:sz w:val="28"/>
          <w:szCs w:val="28"/>
          <w:highlight w:val="none"/>
          <w:u w:val="single"/>
          <w:lang w:val="en-US" w:eastAsia="zh-CN"/>
        </w:rPr>
        <w:t>2</w:t>
      </w:r>
      <w:r>
        <w:rPr>
          <w:rFonts w:hint="eastAsia" w:ascii="仿宋_GB2312" w:hAnsi="仿宋_GB2312" w:eastAsia="仿宋_GB2312" w:cs="仿宋_GB2312"/>
          <w:color w:val="auto"/>
          <w:sz w:val="28"/>
          <w:szCs w:val="28"/>
          <w:highlight w:val="none"/>
          <w:u w:val="single"/>
        </w:rPr>
        <w:t>年</w:t>
      </w:r>
      <w:r>
        <w:rPr>
          <w:rFonts w:hint="eastAsia" w:ascii="仿宋_GB2312" w:hAnsi="仿宋_GB2312" w:eastAsia="仿宋_GB2312" w:cs="仿宋_GB2312"/>
          <w:color w:val="auto"/>
          <w:sz w:val="28"/>
          <w:szCs w:val="28"/>
          <w:highlight w:val="none"/>
        </w:rPr>
        <w:t>，从供货完成并经甲方相关部门验收通过，且按甲方要求提供合格资料之日计起。</w:t>
      </w:r>
    </w:p>
    <w:p w14:paraId="20D0498B">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2、质保要求：</w:t>
      </w:r>
    </w:p>
    <w:p w14:paraId="1C4643D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（1）质保期内，凡因产品造成的质量事故和质量缺陷、脱落</w:t>
      </w:r>
      <w:r>
        <w:rPr>
          <w:rFonts w:hint="eastAsia" w:ascii="仿宋_GB2312" w:hAnsi="仿宋_GB2312" w:eastAsia="仿宋_GB2312" w:cs="仿宋_GB2312"/>
          <w:color w:val="auto"/>
          <w:sz w:val="28"/>
          <w:szCs w:val="28"/>
          <w:highlight w:val="none"/>
          <w:lang w:eastAsia="zh-CN"/>
        </w:rPr>
        <w:t>等</w:t>
      </w:r>
      <w:r>
        <w:rPr>
          <w:rFonts w:hint="eastAsia" w:ascii="仿宋_GB2312" w:hAnsi="仿宋_GB2312" w:eastAsia="仿宋_GB2312" w:cs="仿宋_GB2312"/>
          <w:color w:val="auto"/>
          <w:sz w:val="28"/>
          <w:szCs w:val="28"/>
          <w:highlight w:val="none"/>
        </w:rPr>
        <w:t>由乙方负责无偿保修和承担甲方及客户的一切损失损害赔偿责任，</w:t>
      </w:r>
      <w:r>
        <w:rPr>
          <w:rFonts w:hint="eastAsia" w:ascii="仿宋_GB2312" w:hAnsi="仿宋_GB2312" w:eastAsia="仿宋_GB2312" w:cs="仿宋_GB2312"/>
          <w:color w:val="auto"/>
          <w:sz w:val="28"/>
          <w:szCs w:val="28"/>
          <w:highlight w:val="none"/>
          <w:lang w:val="en-US" w:eastAsia="zh-CN"/>
        </w:rPr>
        <w:t>货物或产品</w:t>
      </w:r>
      <w:r>
        <w:rPr>
          <w:rFonts w:hint="eastAsia" w:ascii="仿宋_GB2312" w:hAnsi="仿宋_GB2312" w:eastAsia="仿宋_GB2312" w:cs="仿宋_GB2312"/>
          <w:color w:val="auto"/>
          <w:sz w:val="28"/>
          <w:szCs w:val="28"/>
          <w:highlight w:val="none"/>
        </w:rPr>
        <w:t>保修条件、范围等按甲方确认的质保书和国家有关规定执行。</w:t>
      </w:r>
    </w:p>
    <w:p w14:paraId="63C5C073">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（2）乙方应在接到甲方或用户通知后24小时之内到现场进行免费维修，否则甲方有权扣收质保金，并自行维修处理，相关费用由乙方承担。</w:t>
      </w:r>
    </w:p>
    <w:p w14:paraId="68CE247A">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（3）质保期满后，甲方在收到乙方退保申请后的7个工作日内办理质保金退还手续，将质保金金额（扣除违约金、赔偿金）退给乙方。</w:t>
      </w:r>
    </w:p>
    <w:p w14:paraId="01093A50">
      <w:pPr>
        <w:keepNext w:val="0"/>
        <w:keepLines w:val="0"/>
        <w:pageBreakBefore w:val="0"/>
        <w:kinsoku/>
        <w:wordWrap/>
        <w:overflowPunct/>
        <w:topLinePunct w:val="0"/>
        <w:autoSpaceDE/>
        <w:autoSpaceDN/>
        <w:bidi w:val="0"/>
        <w:adjustRightInd/>
        <w:snapToGrid/>
        <w:spacing w:line="440" w:lineRule="exact"/>
        <w:ind w:left="0" w:leftChars="0" w:right="0" w:firstLine="562" w:firstLineChars="200"/>
        <w:jc w:val="left"/>
        <w:textAlignment w:val="auto"/>
        <w:rPr>
          <w:rFonts w:hint="default" w:ascii="仿宋_GB2312" w:hAnsi="仿宋_GB2312" w:eastAsia="仿宋_GB2312" w:cs="仿宋_GB2312"/>
          <w:b/>
          <w:color w:val="auto"/>
          <w:sz w:val="28"/>
          <w:szCs w:val="28"/>
          <w:highlight w:val="none"/>
          <w:lang w:val="en-US" w:eastAsia="zh-CN"/>
        </w:rPr>
      </w:pPr>
      <w:r>
        <w:rPr>
          <w:rFonts w:hint="eastAsia" w:ascii="仿宋_GB2312" w:hAnsi="仿宋_GB2312" w:eastAsia="仿宋_GB2312" w:cs="仿宋_GB2312"/>
          <w:b/>
          <w:color w:val="auto"/>
          <w:sz w:val="28"/>
          <w:szCs w:val="28"/>
          <w:highlight w:val="none"/>
        </w:rPr>
        <w:t>七、</w:t>
      </w:r>
      <w:r>
        <w:rPr>
          <w:rFonts w:hint="eastAsia" w:ascii="仿宋_GB2312" w:hAnsi="仿宋_GB2312" w:eastAsia="仿宋_GB2312" w:cs="仿宋_GB2312"/>
          <w:b/>
          <w:color w:val="auto"/>
          <w:sz w:val="28"/>
          <w:szCs w:val="28"/>
          <w:highlight w:val="none"/>
          <w:lang w:val="en-US" w:eastAsia="zh-CN"/>
        </w:rPr>
        <w:t>双方责任及义务</w:t>
      </w:r>
    </w:p>
    <w:p w14:paraId="498A534A">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1、甲方桩基施工需要混凝土应提前8小时将所需混凝土的品种、数量、坍落度、泵送方式及使用混凝土的时间书面通知乙方。</w:t>
      </w:r>
    </w:p>
    <w:p w14:paraId="475712A6">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 、甲方除桩基施工之外所需混凝土的</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每次需要混凝土应提前壹天(每天下午四点前报第二天计划)将所需混凝土的品种、数量、坍落度及工程部位及使用时间，以书面、电子邮件或微信群通知乙方。</w:t>
      </w:r>
    </w:p>
    <w:p w14:paraId="19FC009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 、乙方根据甲方要求按时按量安排混凝土的供应(以料车进场时间为准),不得延误。本项目施工地点特殊，必须严格按照以下时间段施工：早上施工段7:30至12:00(12:00至14:30午休严禁有噪声施工);下午施工段14:30至21:30(21:30至第二天7:30为晚上休息时间，严禁有噪声施工)。如乙方无法按甲方预定的时间供应混凝土时超过3小时的，按延误一天处理，并按本合同第八条承担违约责任。</w:t>
      </w:r>
    </w:p>
    <w:p w14:paraId="5153F416">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4、如因甲方进度影响而无法按预定时间使用混凝土的，应在原定时间前4小时通知乙方。</w:t>
      </w:r>
    </w:p>
    <w:p w14:paraId="4AA4466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5、若乙方无法按甲方预定的时间供应混凝土时，应在原定时间(指甲乙双方约定的供应时间)前</w:t>
      </w:r>
      <w:r>
        <w:rPr>
          <w:rFonts w:hint="eastAsia" w:ascii="仿宋_GB2312" w:hAnsi="仿宋_GB2312" w:eastAsia="仿宋_GB2312" w:cs="仿宋_GB2312"/>
          <w:color w:val="auto"/>
          <w:sz w:val="28"/>
          <w:szCs w:val="28"/>
          <w:highlight w:val="none"/>
          <w:lang w:val="en-US" w:eastAsia="zh-CN"/>
        </w:rPr>
        <w:t>4</w:t>
      </w:r>
      <w:r>
        <w:rPr>
          <w:rFonts w:hint="eastAsia" w:ascii="仿宋_GB2312" w:hAnsi="仿宋_GB2312" w:eastAsia="仿宋_GB2312" w:cs="仿宋_GB2312"/>
          <w:color w:val="auto"/>
          <w:sz w:val="28"/>
          <w:szCs w:val="28"/>
          <w:highlight w:val="none"/>
        </w:rPr>
        <w:t>小时通知甲方；若未及时通知甲方的，因延误造成的损失由乙方承担；同时乙方不得推迟供货超过8个小时，否则按延误一天计算违约金，如造成甲方工期延误，还应赔偿甲方所受损失(包括但不限于律师代理费、诉讼费、甲方对客户的赔偿等)。</w:t>
      </w:r>
    </w:p>
    <w:p w14:paraId="7F07E29D">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6、乙方的泵车与料车，或每批次两车(泵车及料车)进场时间间隔超过1小时以上的，按批次累计计算延误时间，每批次延误累计超过8小时的，按延误一天计算违约金。</w:t>
      </w:r>
    </w:p>
    <w:p w14:paraId="0AFAA92C">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 、甲方负责提供现场布管所需的架子及马凳，布料及振捣由甲方负责。甲方负责施工场地内道路以及泵管布管通道的畅通及安全。</w:t>
      </w:r>
    </w:p>
    <w:p w14:paraId="30F281D7">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8、如甲方要求泵送的，乙方应负责将甲方所需混凝土泵送到甲方指定的施工部位</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现场布管及管道拆卸由乙方负责。乙方混凝土送达施工现场后应尽快卸出搅拌车，如超过2小时仍不能卸出搅拌车，造成混凝土超过初凝时间报废时，属甲方原因的甲方必须签证认收，并负责找场地卸出处理</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所造成的损失由甲方赔偿乙方。属乙方原因的则由乙方负责赔偿甲甲双方的一切损失，并按本合同第六条承担违约责任。</w:t>
      </w:r>
    </w:p>
    <w:p w14:paraId="20328E42">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9 、甲方应按本合同第四条约定向乙方支付货款。</w:t>
      </w:r>
    </w:p>
    <w:p w14:paraId="60B13110">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10 、甲方有责任及义务对每批次的混凝土数量进行核实并做记录。</w:t>
      </w:r>
    </w:p>
    <w:p w14:paraId="4F2C147F">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11、乙方需按本合同第一条约定的数量进行供应把控，并有责任及义务向甲方提出超量的预警提示。</w:t>
      </w:r>
    </w:p>
    <w:p w14:paraId="0CD6F205">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12、合同结算时，乙方有责任及义务配合甲方进行结算并提供完整的混凝土供应 数据一套。如有缺失，乙方须完善相关的资料，否则按本合同第八条第5点处理。</w:t>
      </w:r>
    </w:p>
    <w:p w14:paraId="5C7E1EB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13 、乙方应配合甲方日常工作，提供合格的技术资料，否则按本合同第六条第5 点处理。</w:t>
      </w:r>
    </w:p>
    <w:p w14:paraId="2FF8105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8"/>
          <w:szCs w:val="28"/>
          <w:highlight w:val="none"/>
        </w:rPr>
        <w:t>14 、如施工现场出现混凝土泵车在浇筑过程中发生故障、堵管、爆管等情形的</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乙方应有相应应急救援机制并须在2个小时内处理完成。如处理超过2小时以上的，超过时间计入违约时间累计；如造成当天浇筑不能按计划完成的，按延误一天计算，违约责任按本合同第七条执行。造成的不能使用的材料(商品混凝土)费用及清理不 能使用的材料(商品混凝土)人工费均由乙方承担。</w:t>
      </w:r>
    </w:p>
    <w:p w14:paraId="3BB3FE14">
      <w:pPr>
        <w:keepNext w:val="0"/>
        <w:keepLines w:val="0"/>
        <w:pageBreakBefore w:val="0"/>
        <w:kinsoku/>
        <w:wordWrap/>
        <w:overflowPunct/>
        <w:topLinePunct w:val="0"/>
        <w:autoSpaceDE/>
        <w:autoSpaceDN/>
        <w:bidi w:val="0"/>
        <w:adjustRightInd/>
        <w:snapToGrid/>
        <w:spacing w:line="440" w:lineRule="exact"/>
        <w:ind w:left="0" w:leftChars="0" w:right="0" w:firstLine="562" w:firstLineChars="200"/>
        <w:jc w:val="left"/>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lang w:val="en-US" w:eastAsia="zh-CN"/>
        </w:rPr>
        <w:t>八</w:t>
      </w:r>
      <w:r>
        <w:rPr>
          <w:rFonts w:hint="eastAsia" w:ascii="仿宋_GB2312" w:hAnsi="仿宋_GB2312" w:eastAsia="仿宋_GB2312" w:cs="仿宋_GB2312"/>
          <w:b/>
          <w:color w:val="auto"/>
          <w:sz w:val="28"/>
          <w:szCs w:val="28"/>
          <w:highlight w:val="none"/>
        </w:rPr>
        <w:t>、违约责任</w:t>
      </w:r>
    </w:p>
    <w:p w14:paraId="1B07C1CA">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本合同第一条约定的单价为本工程项目建设期内的固定单价，乙方供货期间如遇市场原材料大幅浮动的，结算单价以甲方、乙方共同确认的价格调整函件为准。如乙方不能按本合同第一条约定的单价、数量按时足额供货的，则：</w:t>
      </w:r>
    </w:p>
    <w:p w14:paraId="361DB422">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(1)每延误一天，乙方应按人民币2000元/天向甲方支付违约金。</w:t>
      </w:r>
    </w:p>
    <w:p w14:paraId="1939054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(2)乙方迟延供货累计超过两天的，甲方有权随时解除本合同，乙方除承担甲方 一切费用损失外，甲方都有权向乙方收取人民币20000元的违约金；</w:t>
      </w:r>
    </w:p>
    <w:p w14:paraId="4856CDC7">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(3)若甲方不解除合同的，违约金按人民币2000元/天计算，同时甲方可调配其他厂家进行供货，乙方应无条件配合。</w:t>
      </w:r>
    </w:p>
    <w:p w14:paraId="564056F8">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若因此造成甲方工期延误，经甲方现场代表确认后，乙方除支付违约金外，还应承担甲方相应的工期延误及甲方因此而蒙受的经济损失(包括但不限于甲方支出的行政处罚费用、工期延期索赔、安全及质量扣款等费用；人身及财产损失赔偿费用</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律师费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诉讼费、执行费、保全费、保全保险费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评估鉴定等各项费用)</w:t>
      </w:r>
    </w:p>
    <w:p w14:paraId="7079885F">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2、经建设方、甲方、乙方另行委托的检测单位进行鉴定后，乙方所供混凝土的试块评定仍不合格的，甲方有权解除本合同</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乙方除应承担因此而发生的一切损失外，还应向甲方支付违约金人民币20000元。</w:t>
      </w:r>
    </w:p>
    <w:p w14:paraId="03F83A1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3、项目完成后合同结算时，乙方应在5个工作日内须向甲方提供完整的混凝土供应数据一套，否则由此产生的不能结算或逾期结算的责任由乙方承担。</w:t>
      </w:r>
    </w:p>
    <w:p w14:paraId="058B938A">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4、如因乙方原因造成甲方损失的，甲方有权向乙方进行索赔。乙方如不配合甲方</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不能按要求提供技术资料造成甲方损失的，甲方有权向乙方进行索赔。</w:t>
      </w:r>
    </w:p>
    <w:p w14:paraId="62F6ABD1">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5 、如乙方不提前开具发票的，甲方有权拒绝付款，且不用承担任何违约责任。</w:t>
      </w:r>
    </w:p>
    <w:p w14:paraId="1F77122C">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6、如因乙方原因发生税务风险，则乙方应承担税务风险给甲方带来的一切损失。</w:t>
      </w:r>
    </w:p>
    <w:p w14:paraId="0F44901E">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7、如因乙方原因，未能按照甲方要求的时限供货，预计必将影响后续目标实现的</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甲方有权采取立即组织委托第三方供货。乙方同意甲方在其当期货款或结算款支付时按照甲方认定的第三方供货产生费用的1.5倍进行扣除，并赔偿由此给甲方造成的损失(包括但不限于甲方支出的行政处罚费用、工期延期索赔、安全及质量扣款等费用；人身及财产损失赔偿费用、律师费、诉讼费、执行费、公告费、保全费、保全保险费、评估鉴定等各项费用)。</w:t>
      </w:r>
    </w:p>
    <w:p w14:paraId="766A4312">
      <w:pPr>
        <w:keepNext w:val="0"/>
        <w:keepLines w:val="0"/>
        <w:pageBreakBefore w:val="0"/>
        <w:kinsoku/>
        <w:wordWrap/>
        <w:overflowPunct/>
        <w:topLinePunct w:val="0"/>
        <w:autoSpaceDE/>
        <w:autoSpaceDN/>
        <w:bidi w:val="0"/>
        <w:adjustRightInd/>
        <w:snapToGrid/>
        <w:spacing w:line="440" w:lineRule="exact"/>
        <w:ind w:left="0" w:leftChars="0" w:right="0" w:firstLine="560" w:firstLineChars="200"/>
        <w:textAlignment w:val="auto"/>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8、如因乙方原因，导致甲方单方解除本合同等任何形式终止本合同，甲方有权立即组织委托第三方供货，乙方同意甲方在其当期货款或结算款支付时按照甲方认定的第三方供货产生费用的1.5倍进行扣除，同时乙方除按上述约定支付违约金外，还应按本合同暂定总价的20%向甲方支付解约违约金</w:t>
      </w:r>
      <w:r>
        <w:rPr>
          <w:rFonts w:hint="eastAsia" w:ascii="仿宋_GB2312" w:hAnsi="仿宋_GB2312" w:eastAsia="仿宋_GB2312" w:cs="仿宋_GB2312"/>
          <w:color w:val="auto"/>
          <w:sz w:val="28"/>
          <w:szCs w:val="28"/>
          <w:highlight w:val="none"/>
          <w:lang w:eastAsia="zh-CN"/>
        </w:rPr>
        <w:t>。</w:t>
      </w:r>
    </w:p>
    <w:p w14:paraId="39CCA22F">
      <w:pPr>
        <w:pStyle w:val="3"/>
        <w:keepNext w:val="0"/>
        <w:keepLines w:val="0"/>
        <w:pageBreakBefore w:val="0"/>
        <w:widowControl/>
        <w:numPr>
          <w:ilvl w:val="0"/>
          <w:numId w:val="0"/>
        </w:numPr>
        <w:suppressLineNumbers w:val="0"/>
        <w:kinsoku/>
        <w:wordWrap/>
        <w:overflowPunct/>
        <w:topLinePunct w:val="0"/>
        <w:autoSpaceDE/>
        <w:autoSpaceDN/>
        <w:bidi w:val="0"/>
        <w:adjustRightInd w:val="0"/>
        <w:snapToGrid/>
        <w:spacing w:before="0" w:beforeAutospacing="0" w:after="0" w:afterAutospacing="0" w:line="540" w:lineRule="exact"/>
        <w:ind w:right="0" w:rightChars="0"/>
        <w:textAlignment w:val="baseline"/>
        <w:rPr>
          <w:color w:val="0000FF"/>
          <w:highlight w:val="none"/>
        </w:rPr>
      </w:pPr>
      <w:r>
        <w:rPr>
          <w:rFonts w:hint="eastAsia" w:ascii="仿宋_GB2312" w:hAnsi="仿宋_GB2312" w:eastAsia="仿宋_GB2312" w:cs="仿宋_GB2312"/>
          <w:b/>
          <w:color w:val="auto"/>
          <w:sz w:val="28"/>
          <w:szCs w:val="28"/>
          <w:highlight w:val="none"/>
          <w:lang w:val="en-US" w:eastAsia="zh-CN"/>
        </w:rPr>
        <w:t>九</w:t>
      </w:r>
      <w:r>
        <w:rPr>
          <w:rFonts w:hint="eastAsia" w:ascii="仿宋_GB2312" w:hAnsi="仿宋_GB2312" w:eastAsia="仿宋_GB2312" w:cs="仿宋_GB2312"/>
          <w:b/>
          <w:color w:val="auto"/>
          <w:sz w:val="28"/>
          <w:szCs w:val="28"/>
          <w:highlight w:val="none"/>
        </w:rPr>
        <w:t>、</w:t>
      </w:r>
      <w:r>
        <w:rPr>
          <w:rFonts w:hint="eastAsia" w:ascii="方正仿宋_GB2312" w:hAnsi="方正仿宋_GB2312" w:eastAsia="方正仿宋_GB2312" w:cs="方正仿宋_GB2312"/>
          <w:b/>
          <w:color w:val="0000FF"/>
          <w:kern w:val="0"/>
          <w:sz w:val="24"/>
          <w:szCs w:val="24"/>
          <w:highlight w:val="none"/>
          <w:lang w:val="en-US" w:eastAsia="zh-CN" w:bidi="ar-SA"/>
        </w:rPr>
        <w:t>通知与送达：</w:t>
      </w:r>
      <w:r>
        <w:rPr>
          <w:color w:val="0000FF"/>
          <w:highlight w:val="none"/>
        </w:rPr>
        <w:t xml:space="preserve"> </w:t>
      </w:r>
    </w:p>
    <w:p w14:paraId="4BD9B9AA">
      <w:pPr>
        <w:keepNext w:val="0"/>
        <w:keepLines w:val="0"/>
        <w:pageBreakBefore w:val="0"/>
        <w:kinsoku/>
        <w:wordWrap/>
        <w:overflowPunct/>
        <w:topLinePunct w:val="0"/>
        <w:autoSpaceDE/>
        <w:autoSpaceDN/>
        <w:bidi w:val="0"/>
        <w:adjustRightInd w:val="0"/>
        <w:snapToGrid/>
        <w:spacing w:beforeAutospacing="0" w:afterAutospacing="0" w:line="540" w:lineRule="exact"/>
        <w:ind w:firstLine="480" w:firstLineChars="200"/>
        <w:textAlignment w:val="baseline"/>
        <w:rPr>
          <w:rFonts w:hint="eastAsia" w:ascii="方正仿宋_GB2312" w:hAnsi="方正仿宋_GB2312" w:eastAsia="方正仿宋_GB2312" w:cs="方正仿宋_GB2312"/>
          <w:color w:val="0000FF"/>
          <w:kern w:val="0"/>
          <w:sz w:val="24"/>
          <w:szCs w:val="24"/>
          <w:highlight w:val="none"/>
          <w:lang w:val="en-US" w:eastAsia="zh-CN" w:bidi="ar-SA"/>
        </w:rPr>
      </w:pPr>
      <w:r>
        <w:rPr>
          <w:rFonts w:hint="eastAsia" w:ascii="方正仿宋_GB2312" w:hAnsi="方正仿宋_GB2312" w:eastAsia="方正仿宋_GB2312" w:cs="方正仿宋_GB2312"/>
          <w:color w:val="0000FF"/>
          <w:kern w:val="0"/>
          <w:sz w:val="24"/>
          <w:szCs w:val="24"/>
          <w:highlight w:val="none"/>
          <w:lang w:val="en-US" w:eastAsia="zh-CN" w:bidi="ar-SA"/>
        </w:rPr>
        <w:t xml:space="preserve">1.双方确认，本合同载明的各方地址为双方真实有效通讯地址。与签订及履行本合同有关的一切通知、函件或其他法律文件，甲乙双方均应按照上述指定联系人及地址送达。 </w:t>
      </w:r>
    </w:p>
    <w:p w14:paraId="20DF5957">
      <w:pPr>
        <w:keepNext w:val="0"/>
        <w:keepLines w:val="0"/>
        <w:pageBreakBefore w:val="0"/>
        <w:kinsoku/>
        <w:wordWrap/>
        <w:overflowPunct/>
        <w:topLinePunct w:val="0"/>
        <w:autoSpaceDE/>
        <w:autoSpaceDN/>
        <w:bidi w:val="0"/>
        <w:adjustRightInd w:val="0"/>
        <w:snapToGrid/>
        <w:spacing w:beforeAutospacing="0" w:afterAutospacing="0" w:line="540" w:lineRule="exact"/>
        <w:ind w:left="0" w:leftChars="0" w:firstLine="484" w:firstLineChars="202"/>
        <w:textAlignment w:val="baseline"/>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kern w:val="0"/>
          <w:sz w:val="24"/>
          <w:szCs w:val="24"/>
          <w:highlight w:val="none"/>
          <w:lang w:val="en-US" w:eastAsia="zh-CN" w:bidi="ar-SA"/>
        </w:rPr>
        <w:t>2.以专人送达的，由指定联系人签字之日为送达日；以信件或快递方式送达的，以发</w:t>
      </w:r>
      <w:r>
        <w:rPr>
          <w:rFonts w:hint="eastAsia" w:ascii="方正仿宋_GB2312" w:hAnsi="方正仿宋_GB2312" w:eastAsia="方正仿宋_GB2312" w:cs="方正仿宋_GB2312"/>
          <w:color w:val="0000FF"/>
          <w:sz w:val="24"/>
          <w:szCs w:val="24"/>
          <w:highlight w:val="none"/>
        </w:rPr>
        <w:t xml:space="preserve">邮后第三日视为送达；以电子邮件方式送达的，以发送一方系统显示的发送成功之日为送达日；发出方同时采取上述方式送达的，以最先实现送达的方式确定送达日期。 </w:t>
      </w:r>
    </w:p>
    <w:p w14:paraId="212657BC">
      <w:pPr>
        <w:pageBreakBefore w:val="0"/>
        <w:kinsoku/>
        <w:overflowPunct/>
        <w:topLinePunct w:val="0"/>
        <w:autoSpaceDE/>
        <w:autoSpaceDN/>
        <w:bidi w:val="0"/>
        <w:spacing w:beforeAutospacing="0" w:afterAutospacing="0" w:line="540" w:lineRule="exact"/>
        <w:ind w:left="0" w:leftChars="0" w:firstLine="484" w:firstLineChars="202"/>
        <w:rPr>
          <w:rFonts w:hint="eastAsia" w:ascii="方正仿宋_GB2312" w:hAnsi="方正仿宋_GB2312" w:eastAsia="方正仿宋_GB2312" w:cs="方正仿宋_GB2312"/>
          <w:color w:val="0000FF"/>
          <w:sz w:val="24"/>
          <w:szCs w:val="24"/>
          <w:highlight w:val="none"/>
        </w:rPr>
      </w:pPr>
      <w:r>
        <w:rPr>
          <w:rFonts w:hint="eastAsia" w:ascii="方正仿宋_GB2312" w:hAnsi="方正仿宋_GB2312" w:eastAsia="方正仿宋_GB2312" w:cs="方正仿宋_GB2312"/>
          <w:color w:val="0000FF"/>
          <w:sz w:val="24"/>
          <w:szCs w:val="24"/>
          <w:highlight w:val="none"/>
          <w:lang w:val="en-US" w:eastAsia="zh-CN"/>
        </w:rPr>
        <w:t>3.</w:t>
      </w:r>
      <w:r>
        <w:rPr>
          <w:rFonts w:hint="eastAsia" w:ascii="方正仿宋_GB2312" w:hAnsi="方正仿宋_GB2312" w:eastAsia="方正仿宋_GB2312" w:cs="方正仿宋_GB2312"/>
          <w:color w:val="0000FF"/>
          <w:sz w:val="24"/>
          <w:szCs w:val="24"/>
          <w:highlight w:val="none"/>
        </w:rPr>
        <w:t xml:space="preserve">一方地址变更的，应在变更后10日内书面通知对方，否则本合同载明的地址仍为真实有效通讯地址。上述送达地址和联系方式适用范围包括双方非诉时各类通知、合同等文件以及就合同发生纠纷时相关文件和法律文书的送达，同时包括在争议进入仲裁、民事诉讼程序后的一审、二审、再审和执行程序。 </w:t>
      </w:r>
    </w:p>
    <w:p w14:paraId="1A73F548">
      <w:pPr>
        <w:keepNext w:val="0"/>
        <w:keepLines w:val="0"/>
        <w:pageBreakBefore w:val="0"/>
        <w:kinsoku/>
        <w:wordWrap/>
        <w:overflowPunct/>
        <w:topLinePunct w:val="0"/>
        <w:autoSpaceDE/>
        <w:autoSpaceDN/>
        <w:bidi w:val="0"/>
        <w:adjustRightInd/>
        <w:snapToGrid/>
        <w:spacing w:line="440" w:lineRule="exact"/>
        <w:ind w:left="0" w:leftChars="0" w:right="0" w:firstLine="480" w:firstLineChars="200"/>
        <w:textAlignment w:val="auto"/>
        <w:rPr>
          <w:rFonts w:hint="eastAsia" w:ascii="方正仿宋_GB2312" w:hAnsi="方正仿宋_GB2312" w:eastAsia="方正仿宋_GB2312" w:cs="方正仿宋_GB2312"/>
          <w:color w:val="0000FF"/>
          <w:sz w:val="24"/>
          <w:szCs w:val="24"/>
          <w:highlight w:val="none"/>
          <w:lang w:eastAsia="zh-CN"/>
        </w:rPr>
      </w:pPr>
      <w:r>
        <w:rPr>
          <w:rFonts w:hint="eastAsia" w:ascii="方正仿宋_GB2312" w:hAnsi="方正仿宋_GB2312" w:eastAsia="方正仿宋_GB2312" w:cs="方正仿宋_GB2312"/>
          <w:color w:val="0000FF"/>
          <w:sz w:val="24"/>
          <w:szCs w:val="24"/>
          <w:highlight w:val="none"/>
          <w:lang w:val="en-US" w:eastAsia="zh-CN"/>
        </w:rPr>
        <w:t>4.</w:t>
      </w:r>
      <w:r>
        <w:rPr>
          <w:rFonts w:hint="eastAsia" w:ascii="方正仿宋_GB2312" w:hAnsi="方正仿宋_GB2312" w:eastAsia="方正仿宋_GB2312" w:cs="方正仿宋_GB2312"/>
          <w:color w:val="0000FF"/>
          <w:sz w:val="24"/>
          <w:szCs w:val="24"/>
          <w:highlight w:val="none"/>
        </w:rPr>
        <w:t>合同送达条款为独立条款，不受合同整体或其他条款的效力的影响。</w:t>
      </w:r>
    </w:p>
    <w:p w14:paraId="016ACF8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方正仿宋_GB2312" w:hAnsi="方正仿宋_GB2312" w:eastAsia="方正仿宋_GB2312" w:cs="方正仿宋_GB2312"/>
          <w:color w:val="0000FF"/>
          <w:sz w:val="24"/>
          <w:szCs w:val="24"/>
          <w:highlight w:val="none"/>
          <w:lang w:val="en-US" w:eastAsia="zh-CN"/>
        </w:rPr>
      </w:pPr>
      <w:r>
        <w:rPr>
          <w:rFonts w:hint="eastAsia" w:ascii="仿宋_GB2312" w:hAnsi="仿宋_GB2312" w:eastAsia="仿宋_GB2312" w:cs="仿宋_GB2312"/>
          <w:b/>
          <w:color w:val="auto"/>
          <w:sz w:val="28"/>
          <w:szCs w:val="28"/>
          <w:highlight w:val="none"/>
          <w:lang w:val="en-US" w:eastAsia="zh-CN"/>
        </w:rPr>
        <w:t>十、</w:t>
      </w:r>
      <w:r>
        <w:rPr>
          <w:rFonts w:hint="eastAsia" w:ascii="仿宋_GB2312" w:hAnsi="仿宋_GB2312" w:eastAsia="仿宋_GB2312" w:cs="仿宋_GB2312"/>
          <w:b/>
          <w:color w:val="auto"/>
          <w:sz w:val="28"/>
          <w:szCs w:val="28"/>
          <w:highlight w:val="none"/>
        </w:rPr>
        <w:t>其他约定事项</w:t>
      </w:r>
      <w:r>
        <w:rPr>
          <w:rFonts w:hint="eastAsia" w:ascii="仿宋_GB2312" w:hAnsi="仿宋_GB2312" w:eastAsia="仿宋_GB2312" w:cs="仿宋_GB2312"/>
          <w:b/>
          <w:color w:val="auto"/>
          <w:sz w:val="28"/>
          <w:szCs w:val="28"/>
          <w:highlight w:val="none"/>
          <w:lang w:eastAsia="zh-CN"/>
        </w:rPr>
        <w:t>：</w:t>
      </w:r>
      <w:r>
        <w:rPr>
          <w:rFonts w:hint="eastAsia" w:ascii="仿宋_GB2312" w:hAnsi="仿宋_GB2312" w:eastAsia="仿宋_GB2312" w:cs="仿宋_GB2312"/>
          <w:b/>
          <w:color w:val="auto"/>
          <w:sz w:val="28"/>
          <w:szCs w:val="28"/>
          <w:highlight w:val="none"/>
        </w:rPr>
        <w:t xml:space="preserve"> 无。</w:t>
      </w:r>
      <w:r>
        <w:rPr>
          <w:rFonts w:hint="eastAsia" w:ascii="方正仿宋_GB2312" w:hAnsi="方正仿宋_GB2312" w:eastAsia="方正仿宋_GB2312" w:cs="方正仿宋_GB2312"/>
          <w:color w:val="0000FF"/>
          <w:sz w:val="24"/>
          <w:szCs w:val="24"/>
          <w:highlight w:val="none"/>
          <w:lang w:val="en-US" w:eastAsia="zh-CN"/>
        </w:rPr>
        <w:t xml:space="preserve"> </w:t>
      </w:r>
    </w:p>
    <w:p w14:paraId="0A8A0B11">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一</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未尽事宜，双方协商解决；协调不成，依法向甲方住所地有管辖权的人民法院起诉。</w:t>
      </w:r>
    </w:p>
    <w:p w14:paraId="629EB09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二</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本合同有效期自甲乙双方签字盖章日起生效，直至对供应项目供货完成且最终结算为止。</w:t>
      </w:r>
    </w:p>
    <w:p w14:paraId="0F88335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十</w:t>
      </w:r>
      <w:r>
        <w:rPr>
          <w:rFonts w:hint="eastAsia" w:ascii="仿宋_GB2312" w:hAnsi="仿宋_GB2312" w:eastAsia="仿宋_GB2312" w:cs="仿宋_GB2312"/>
          <w:b/>
          <w:color w:val="auto"/>
          <w:sz w:val="28"/>
          <w:szCs w:val="28"/>
          <w:highlight w:val="none"/>
          <w:lang w:val="en-US" w:eastAsia="zh-CN"/>
        </w:rPr>
        <w:t>三</w:t>
      </w:r>
      <w:r>
        <w:rPr>
          <w:rFonts w:hint="eastAsia" w:ascii="仿宋_GB2312" w:hAnsi="仿宋_GB2312" w:eastAsia="仿宋_GB2312" w:cs="仿宋_GB2312"/>
          <w:b/>
          <w:color w:val="auto"/>
          <w:sz w:val="28"/>
          <w:szCs w:val="28"/>
          <w:highlight w:val="none"/>
        </w:rPr>
        <w:t>、</w:t>
      </w:r>
      <w:r>
        <w:rPr>
          <w:rFonts w:hint="eastAsia" w:ascii="仿宋_GB2312" w:hAnsi="仿宋_GB2312" w:eastAsia="仿宋_GB2312" w:cs="仿宋_GB2312"/>
          <w:color w:val="auto"/>
          <w:sz w:val="28"/>
          <w:szCs w:val="28"/>
          <w:highlight w:val="none"/>
        </w:rPr>
        <w:t>本合同一式四份，甲方执三份，乙方执一份，双方签字盖章后生效。</w:t>
      </w:r>
    </w:p>
    <w:p w14:paraId="3C118FE3">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sectPr>
          <w:footerReference r:id="rId3" w:type="default"/>
          <w:pgSz w:w="11906" w:h="16838"/>
          <w:pgMar w:top="1440" w:right="1474" w:bottom="1440" w:left="1474" w:header="851" w:footer="992" w:gutter="0"/>
          <w:cols w:space="720" w:num="1"/>
          <w:docGrid w:type="lines" w:linePitch="312" w:charSpace="0"/>
        </w:sectPr>
      </w:pPr>
    </w:p>
    <w:p w14:paraId="1DE659EB">
      <w:pPr>
        <w:pageBreakBefore w:val="0"/>
        <w:kinsoku/>
        <w:overflowPunct/>
        <w:topLinePunct w:val="0"/>
        <w:autoSpaceDE/>
        <w:autoSpaceDN/>
        <w:bidi w:val="0"/>
        <w:spacing w:beforeAutospacing="0" w:afterAutospacing="0" w:line="540" w:lineRule="exact"/>
        <w:rPr>
          <w:rFonts w:hint="eastAsia" w:ascii="仿宋_GB2312" w:hAnsi="仿宋_GB2312" w:eastAsia="仿宋_GB2312" w:cs="仿宋_GB2312"/>
          <w:b/>
          <w:color w:val="auto"/>
          <w:sz w:val="28"/>
          <w:szCs w:val="28"/>
          <w:highlight w:val="none"/>
        </w:rPr>
        <w:sectPr>
          <w:footerReference r:id="rId4" w:type="default"/>
          <w:pgSz w:w="11906" w:h="16838"/>
          <w:pgMar w:top="1440" w:right="1474" w:bottom="1440" w:left="1474" w:header="851" w:footer="992" w:gutter="0"/>
          <w:cols w:space="425" w:num="2"/>
          <w:docGrid w:type="lines" w:linePitch="312" w:charSpace="0"/>
        </w:sectPr>
      </w:pPr>
    </w:p>
    <w:p w14:paraId="6931D64B">
      <w:pPr>
        <w:pStyle w:val="7"/>
        <w:keepNext w:val="0"/>
        <w:keepLines w:val="0"/>
        <w:pageBreakBefore w:val="0"/>
        <w:kinsoku/>
        <w:wordWrap/>
        <w:overflowPunct/>
        <w:topLinePunct w:val="0"/>
        <w:autoSpaceDE/>
        <w:autoSpaceDN/>
        <w:bidi w:val="0"/>
        <w:adjustRightInd/>
        <w:snapToGrid/>
        <w:spacing w:line="440" w:lineRule="exact"/>
        <w:ind w:right="0" w:firstLine="562" w:firstLineChars="200"/>
        <w:textAlignment w:val="auto"/>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合同附件：</w:t>
      </w:r>
    </w:p>
    <w:p w14:paraId="32FC473C">
      <w:pPr>
        <w:pStyle w:val="3"/>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bCs/>
          <w:color w:val="auto"/>
          <w:sz w:val="28"/>
          <w:szCs w:val="28"/>
          <w:highlight w:val="none"/>
          <w:u w:val="single"/>
        </w:rPr>
      </w:pPr>
      <w:r>
        <w:rPr>
          <w:rFonts w:hint="eastAsia" w:ascii="仿宋_GB2312" w:hAnsi="仿宋_GB2312" w:eastAsia="仿宋_GB2312" w:cs="仿宋_GB2312"/>
          <w:color w:val="auto"/>
          <w:sz w:val="28"/>
          <w:szCs w:val="28"/>
          <w:highlight w:val="none"/>
        </w:rPr>
        <w:t>附件一：</w:t>
      </w:r>
      <w:r>
        <w:rPr>
          <w:rFonts w:hint="eastAsia" w:ascii="仿宋_GB2312" w:hAnsi="仿宋_GB2312" w:eastAsia="仿宋_GB2312" w:cs="仿宋_GB2312"/>
          <w:bCs/>
          <w:color w:val="auto"/>
          <w:sz w:val="28"/>
          <w:szCs w:val="28"/>
          <w:highlight w:val="none"/>
          <w:u w:val="none"/>
        </w:rPr>
        <w:t>合同清单</w:t>
      </w:r>
    </w:p>
    <w:p w14:paraId="22873670">
      <w:pPr>
        <w:pStyle w:val="3"/>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rPr>
        <w:t>附件二：工程建设项目廉政</w:t>
      </w:r>
      <w:r>
        <w:rPr>
          <w:rFonts w:hint="eastAsia" w:ascii="仿宋_GB2312" w:hAnsi="仿宋_GB2312" w:eastAsia="仿宋_GB2312" w:cs="仿宋_GB2312"/>
          <w:color w:val="auto"/>
          <w:sz w:val="28"/>
          <w:szCs w:val="28"/>
          <w:highlight w:val="none"/>
          <w:lang w:val="en-US" w:eastAsia="zh-CN"/>
        </w:rPr>
        <w:t>责任书</w:t>
      </w:r>
    </w:p>
    <w:p w14:paraId="5C07D97D">
      <w:pPr>
        <w:pStyle w:val="3"/>
        <w:keepNext w:val="0"/>
        <w:keepLines w:val="0"/>
        <w:pageBreakBefore w:val="0"/>
        <w:kinsoku/>
        <w:wordWrap/>
        <w:overflowPunct/>
        <w:topLinePunct w:val="0"/>
        <w:autoSpaceDE/>
        <w:autoSpaceDN/>
        <w:bidi w:val="0"/>
        <w:adjustRightInd/>
        <w:snapToGrid/>
        <w:spacing w:before="0" w:beforeAutospacing="0" w:after="0" w:afterAutospacing="0" w:line="440" w:lineRule="exact"/>
        <w:ind w:left="0" w:leftChars="0" w:right="0" w:firstLine="560" w:firstLineChars="200"/>
        <w:jc w:val="both"/>
        <w:textAlignment w:val="auto"/>
        <w:rPr>
          <w:rFonts w:hint="default" w:ascii="仿宋_GB2312" w:hAnsi="仿宋_GB2312" w:eastAsia="仿宋_GB2312" w:cs="仿宋_GB2312"/>
          <w:color w:val="auto"/>
          <w:sz w:val="28"/>
          <w:szCs w:val="28"/>
          <w:highlight w:val="none"/>
          <w:lang w:val="en-US" w:eastAsia="zh-CN"/>
        </w:rPr>
        <w:sectPr>
          <w:type w:val="continuous"/>
          <w:pgSz w:w="11906" w:h="16838"/>
          <w:pgMar w:top="1440" w:right="1474" w:bottom="1440" w:left="1474" w:header="851" w:footer="992" w:gutter="0"/>
          <w:cols w:space="720" w:num="1"/>
          <w:docGrid w:type="lines" w:linePitch="312" w:charSpace="0"/>
        </w:sectPr>
      </w:pPr>
      <w:r>
        <w:rPr>
          <w:rFonts w:hint="eastAsia" w:ascii="仿宋_GB2312" w:hAnsi="仿宋_GB2312" w:eastAsia="仿宋_GB2312" w:cs="仿宋_GB2312"/>
          <w:color w:val="auto"/>
          <w:sz w:val="28"/>
          <w:szCs w:val="28"/>
          <w:highlight w:val="none"/>
          <w:lang w:val="en-US" w:eastAsia="zh-CN"/>
        </w:rPr>
        <w:t>附件三：供货通知</w:t>
      </w:r>
    </w:p>
    <w:p w14:paraId="22808570">
      <w:pPr>
        <w:keepNext w:val="0"/>
        <w:keepLines w:val="0"/>
        <w:pageBreakBefore w:val="0"/>
        <w:kinsoku/>
        <w:wordWrap/>
        <w:overflowPunct/>
        <w:topLinePunct w:val="0"/>
        <w:autoSpaceDE/>
        <w:autoSpaceDN/>
        <w:bidi w:val="0"/>
        <w:adjustRightInd/>
        <w:snapToGrid/>
        <w:spacing w:line="440" w:lineRule="exact"/>
        <w:ind w:right="0"/>
        <w:jc w:val="left"/>
        <w:textAlignment w:val="auto"/>
        <w:rPr>
          <w:rFonts w:hint="eastAsia" w:ascii="仿宋_GB2312" w:hAnsi="仿宋_GB2312" w:eastAsia="仿宋_GB2312" w:cs="仿宋_GB2312"/>
          <w:color w:val="auto"/>
          <w:sz w:val="28"/>
          <w:szCs w:val="28"/>
          <w:highlight w:val="none"/>
        </w:rPr>
      </w:pPr>
    </w:p>
    <w:p w14:paraId="64C71EAF">
      <w:pPr>
        <w:keepNext w:val="0"/>
        <w:keepLines w:val="0"/>
        <w:pageBreakBefore w:val="0"/>
        <w:kinsoku/>
        <w:wordWrap/>
        <w:overflowPunct/>
        <w:topLinePunct w:val="0"/>
        <w:autoSpaceDE/>
        <w:autoSpaceDN/>
        <w:bidi w:val="0"/>
        <w:adjustRightInd/>
        <w:snapToGrid/>
        <w:spacing w:line="440" w:lineRule="exact"/>
        <w:ind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（以下无正文）</w:t>
      </w:r>
    </w:p>
    <w:p w14:paraId="060E869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p>
    <w:p w14:paraId="53EBD9C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p>
    <w:p w14:paraId="2519B0D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p>
    <w:p w14:paraId="59D15AF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p>
    <w:p w14:paraId="6D91720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p>
    <w:p w14:paraId="3B0B0E73">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space="425" w:num="2"/>
          <w:docGrid w:type="lines" w:linePitch="312" w:charSpace="0"/>
        </w:sectPr>
      </w:pPr>
    </w:p>
    <w:p w14:paraId="1ADCE0E3">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甲方名称（公章）</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 xml:space="preserve"> 南宁轨道地产建筑工程有限责任公司</w:t>
      </w:r>
    </w:p>
    <w:p w14:paraId="5DA8156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p>
    <w:p w14:paraId="0306103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5508AAD0">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430E6C5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FF0000"/>
          <w:sz w:val="28"/>
          <w:szCs w:val="28"/>
          <w:highlight w:val="none"/>
        </w:rPr>
      </w:pPr>
      <w:r>
        <w:rPr>
          <w:rFonts w:hint="eastAsia" w:ascii="仿宋_GB2312" w:hAnsi="仿宋_GB2312" w:eastAsia="仿宋_GB2312" w:cs="仿宋_GB2312"/>
          <w:color w:val="auto"/>
          <w:sz w:val="28"/>
          <w:szCs w:val="28"/>
          <w:highlight w:val="none"/>
        </w:rPr>
        <w:t>单位地址：</w:t>
      </w:r>
      <w:r>
        <w:rPr>
          <w:rFonts w:hint="eastAsia" w:ascii="仿宋_GB2312" w:hAnsi="仿宋_GB2312" w:eastAsia="仿宋_GB2312" w:cs="仿宋_GB2312"/>
          <w:color w:val="FF0000"/>
          <w:sz w:val="28"/>
          <w:szCs w:val="28"/>
          <w:highlight w:val="none"/>
        </w:rPr>
        <w:t>南宁市青秀区凤岭北路111号南宁国际旅游中心3号楼3601-3603、3605-3607、3701-3703、3705-3713、3715-</w:t>
      </w:r>
      <w:r>
        <w:rPr>
          <w:rFonts w:hint="eastAsia" w:ascii="仿宋_GB2312" w:hAnsi="仿宋_GB2312" w:eastAsia="仿宋_GB2312" w:cs="仿宋_GB2312"/>
          <w:color w:val="FF0000"/>
          <w:sz w:val="28"/>
          <w:szCs w:val="28"/>
          <w:highlight w:val="none"/>
          <w:lang w:val="en-US" w:eastAsia="zh-CN"/>
        </w:rPr>
        <w:t>3</w:t>
      </w:r>
      <w:r>
        <w:rPr>
          <w:rFonts w:hint="eastAsia" w:ascii="仿宋_GB2312" w:hAnsi="仿宋_GB2312" w:eastAsia="仿宋_GB2312" w:cs="仿宋_GB2312"/>
          <w:color w:val="FF0000"/>
          <w:sz w:val="28"/>
          <w:szCs w:val="28"/>
          <w:highlight w:val="none"/>
        </w:rPr>
        <w:t xml:space="preserve">716、3801-3803、3805-3813、3815-3816  </w:t>
      </w:r>
    </w:p>
    <w:p w14:paraId="27CCEF9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r>
        <w:rPr>
          <w:rFonts w:hint="eastAsia" w:ascii="仿宋_GB2312" w:hAnsi="仿宋_GB2312" w:eastAsia="仿宋_GB2312" w:cs="仿宋_GB2312"/>
          <w:color w:val="auto"/>
          <w:kern w:val="0"/>
          <w:sz w:val="28"/>
          <w:szCs w:val="28"/>
          <w:highlight w:val="none"/>
        </w:rPr>
        <w:t xml:space="preserve"> </w:t>
      </w:r>
      <w:r>
        <w:rPr>
          <w:rFonts w:hint="eastAsia" w:ascii="仿宋_GB2312" w:hAnsi="仿宋_GB2312" w:eastAsia="仿宋_GB2312" w:cs="仿宋_GB2312"/>
          <w:color w:val="auto"/>
          <w:sz w:val="28"/>
          <w:szCs w:val="28"/>
          <w:highlight w:val="none"/>
        </w:rPr>
        <w:t>中国建设银行股份有限公司</w:t>
      </w:r>
    </w:p>
    <w:p w14:paraId="7306369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南宁金湖北路支行</w:t>
      </w:r>
    </w:p>
    <w:p w14:paraId="447C1F9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 4500 1604 2640 5070 2251</w:t>
      </w:r>
    </w:p>
    <w:p w14:paraId="20E0B2BE">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联系电话：0771-5863298</w:t>
      </w:r>
    </w:p>
    <w:p w14:paraId="43A42EA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签约地点：南宁市青秀区</w:t>
      </w:r>
    </w:p>
    <w:p w14:paraId="49DE83E4">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签约时间：      年   月   日</w:t>
      </w:r>
    </w:p>
    <w:p w14:paraId="46249BBF">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乙方名称（公章）：</w:t>
      </w:r>
    </w:p>
    <w:p w14:paraId="710C2E5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                                                                                                </w:t>
      </w:r>
    </w:p>
    <w:p w14:paraId="73D1EFF3">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p>
    <w:p w14:paraId="39D36ADA">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法定代表人：</w:t>
      </w:r>
    </w:p>
    <w:p w14:paraId="50EA682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委托代理人：</w:t>
      </w:r>
    </w:p>
    <w:p w14:paraId="67DF822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单位地址、电话：</w:t>
      </w:r>
    </w:p>
    <w:p w14:paraId="6975E0B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p>
    <w:p w14:paraId="735B7F39">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开户行：</w:t>
      </w:r>
    </w:p>
    <w:p w14:paraId="48D40B2C">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p>
    <w:p w14:paraId="000EA4C5">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银行账号：</w:t>
      </w:r>
    </w:p>
    <w:p w14:paraId="0D3BE3A2">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法人联系电话：</w:t>
      </w:r>
    </w:p>
    <w:p w14:paraId="38699296">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pPr>
    </w:p>
    <w:p w14:paraId="175B5F8D">
      <w:pPr>
        <w:keepNext w:val="0"/>
        <w:keepLines w:val="0"/>
        <w:pageBreakBefore w:val="0"/>
        <w:kinsoku/>
        <w:wordWrap/>
        <w:overflowPunct/>
        <w:topLinePunct w:val="0"/>
        <w:autoSpaceDE/>
        <w:autoSpaceDN/>
        <w:bidi w:val="0"/>
        <w:adjustRightInd/>
        <w:snapToGrid/>
        <w:spacing w:line="440" w:lineRule="exact"/>
        <w:ind w:left="0" w:leftChars="0" w:right="0"/>
        <w:jc w:val="left"/>
        <w:textAlignment w:val="auto"/>
        <w:rPr>
          <w:rFonts w:hint="eastAsia" w:ascii="仿宋_GB2312" w:hAnsi="仿宋_GB2312" w:eastAsia="仿宋_GB2312" w:cs="仿宋_GB2312"/>
          <w:color w:val="auto"/>
          <w:sz w:val="28"/>
          <w:szCs w:val="28"/>
          <w:highlight w:val="none"/>
        </w:rPr>
        <w:sectPr>
          <w:type w:val="continuous"/>
          <w:pgSz w:w="11906" w:h="16838"/>
          <w:pgMar w:top="1440" w:right="1474" w:bottom="1440" w:left="1474" w:header="851" w:footer="992" w:gutter="0"/>
          <w:cols w:space="425" w:num="2"/>
          <w:docGrid w:type="lines" w:linePitch="312" w:charSpace="0"/>
        </w:sectPr>
      </w:pPr>
    </w:p>
    <w:p w14:paraId="38C8D5FC">
      <w:pPr>
        <w:spacing w:line="440" w:lineRule="exact"/>
        <w:jc w:val="left"/>
        <w:rPr>
          <w:rFonts w:ascii="宋体" w:hAnsi="宋体"/>
          <w:color w:val="auto"/>
          <w:sz w:val="24"/>
          <w:highlight w:val="none"/>
        </w:rPr>
      </w:pPr>
      <w:r>
        <w:rPr>
          <w:rFonts w:hint="eastAsia" w:ascii="宋体" w:hAnsi="宋体"/>
          <w:color w:val="auto"/>
          <w:sz w:val="24"/>
          <w:highlight w:val="none"/>
        </w:rPr>
        <w:t>附件一：合同清单（包括但不限于以下内容）</w:t>
      </w:r>
    </w:p>
    <w:tbl>
      <w:tblPr>
        <w:tblStyle w:val="4"/>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05EEDE59">
        <w:tblPrEx>
          <w:tblCellMar>
            <w:top w:w="0" w:type="dxa"/>
            <w:left w:w="108" w:type="dxa"/>
            <w:bottom w:w="0" w:type="dxa"/>
            <w:right w:w="108" w:type="dxa"/>
          </w:tblCellMar>
        </w:tblPrEx>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3DDA9CAA">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5B997E13">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7472346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3918E777">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558978A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411DDEF9">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3C54CBA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3501F3B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593C9D74">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14:paraId="5794E90F">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76A442A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84" w:type="pct"/>
            <w:tcBorders>
              <w:top w:val="nil"/>
              <w:left w:val="nil"/>
              <w:bottom w:val="single" w:color="auto" w:sz="4" w:space="0"/>
              <w:right w:val="single" w:color="auto" w:sz="4" w:space="0"/>
            </w:tcBorders>
            <w:noWrap w:val="0"/>
            <w:vAlign w:val="center"/>
          </w:tcPr>
          <w:p w14:paraId="05C55A07">
            <w:pPr>
              <w:jc w:val="center"/>
              <w:rPr>
                <w:rFonts w:ascii="宋体" w:hAnsi="宋体" w:cs="宋体"/>
                <w:color w:val="auto"/>
                <w:szCs w:val="21"/>
                <w:highlight w:val="none"/>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5B9C11E1">
            <w:pPr>
              <w:jc w:val="center"/>
              <w:rPr>
                <w:color w:val="auto"/>
                <w:szCs w:val="21"/>
                <w:highlight w:val="none"/>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176FBFAE">
            <w:pPr>
              <w:jc w:val="center"/>
              <w:rPr>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3D2B27BC">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15934A22">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3EE00DC5">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764B906D">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1F851AB0">
            <w:pPr>
              <w:widowControl/>
              <w:ind w:right="451" w:rightChars="215"/>
              <w:jc w:val="center"/>
              <w:rPr>
                <w:rFonts w:ascii="宋体" w:hAnsi="宋体" w:cs="宋体"/>
                <w:color w:val="auto"/>
                <w:kern w:val="0"/>
                <w:szCs w:val="21"/>
                <w:highlight w:val="none"/>
              </w:rPr>
            </w:pPr>
          </w:p>
        </w:tc>
      </w:tr>
      <w:tr w14:paraId="11C8D095">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7B34655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984" w:type="pct"/>
            <w:tcBorders>
              <w:top w:val="nil"/>
              <w:left w:val="nil"/>
              <w:bottom w:val="single" w:color="auto" w:sz="4" w:space="0"/>
              <w:right w:val="single" w:color="auto" w:sz="4" w:space="0"/>
            </w:tcBorders>
            <w:noWrap w:val="0"/>
            <w:vAlign w:val="center"/>
          </w:tcPr>
          <w:p w14:paraId="236D5910">
            <w:pPr>
              <w:jc w:val="center"/>
              <w:rPr>
                <w:rFonts w:ascii="宋体" w:hAnsi="宋体" w:cs="宋体"/>
                <w:color w:val="auto"/>
                <w:szCs w:val="21"/>
                <w:highlight w:val="none"/>
              </w:rPr>
            </w:pPr>
          </w:p>
        </w:tc>
        <w:tc>
          <w:tcPr>
            <w:tcW w:w="629" w:type="pct"/>
            <w:tcBorders>
              <w:top w:val="single" w:color="auto" w:sz="4" w:space="0"/>
              <w:left w:val="nil"/>
              <w:bottom w:val="single" w:color="auto" w:sz="4" w:space="0"/>
              <w:right w:val="single" w:color="auto" w:sz="4" w:space="0"/>
            </w:tcBorders>
            <w:noWrap w:val="0"/>
            <w:vAlign w:val="center"/>
          </w:tcPr>
          <w:p w14:paraId="67BAB368">
            <w:pPr>
              <w:jc w:val="center"/>
              <w:rPr>
                <w:rFonts w:ascii="宋体" w:hAnsi="宋体" w:cs="宋体"/>
                <w:color w:val="auto"/>
                <w:szCs w:val="21"/>
                <w:highlight w:val="none"/>
              </w:rPr>
            </w:pPr>
          </w:p>
        </w:tc>
        <w:tc>
          <w:tcPr>
            <w:tcW w:w="513" w:type="pct"/>
            <w:tcBorders>
              <w:top w:val="single" w:color="auto" w:sz="4" w:space="0"/>
              <w:left w:val="nil"/>
              <w:bottom w:val="single" w:color="auto" w:sz="4" w:space="0"/>
              <w:right w:val="single" w:color="auto" w:sz="4" w:space="0"/>
            </w:tcBorders>
            <w:noWrap w:val="0"/>
            <w:vAlign w:val="center"/>
          </w:tcPr>
          <w:p w14:paraId="7DAED8D9">
            <w:pPr>
              <w:jc w:val="center"/>
              <w:rPr>
                <w:rFonts w:ascii="宋体" w:hAnsi="宋体" w:cs="宋体"/>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3530BEB2">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1E706488">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04ACC98A">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D8E240D">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01FBD00A">
            <w:pPr>
              <w:widowControl/>
              <w:ind w:right="451" w:rightChars="215"/>
              <w:jc w:val="center"/>
              <w:rPr>
                <w:rFonts w:ascii="宋体" w:hAnsi="宋体" w:cs="宋体"/>
                <w:color w:val="auto"/>
                <w:kern w:val="0"/>
                <w:szCs w:val="21"/>
                <w:highlight w:val="none"/>
              </w:rPr>
            </w:pPr>
          </w:p>
        </w:tc>
      </w:tr>
      <w:tr w14:paraId="5CB73CEC">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4E70D812">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5395E943">
            <w:pPr>
              <w:widowControl/>
              <w:ind w:right="451" w:rightChars="215"/>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bCs/>
                <w:color w:val="auto"/>
                <w:kern w:val="0"/>
                <w:szCs w:val="21"/>
                <w:highlight w:val="none"/>
              </w:rPr>
              <w:t>元）</w:t>
            </w:r>
          </w:p>
        </w:tc>
      </w:tr>
    </w:tbl>
    <w:p w14:paraId="2B4B096B">
      <w:pPr>
        <w:rPr>
          <w:highlight w:val="none"/>
        </w:rPr>
      </w:pPr>
      <w:r>
        <w:rPr>
          <w:highlight w:val="none"/>
        </w:rPr>
        <w:br w:type="page"/>
      </w:r>
    </w:p>
    <w:p w14:paraId="09C92724">
      <w:pPr>
        <w:spacing w:line="440" w:lineRule="exact"/>
        <w:jc w:val="left"/>
        <w:rPr>
          <w:rFonts w:hint="eastAsia" w:ascii="宋体" w:hAnsi="宋体"/>
          <w:color w:val="auto"/>
          <w:sz w:val="24"/>
          <w:highlight w:val="none"/>
        </w:rPr>
      </w:pPr>
      <w:r>
        <w:rPr>
          <w:rFonts w:hint="eastAsia" w:ascii="宋体" w:hAnsi="宋体"/>
          <w:color w:val="auto"/>
          <w:sz w:val="24"/>
          <w:highlight w:val="none"/>
        </w:rPr>
        <w:t>附件二：工程建设项目廉政责任书</w:t>
      </w:r>
    </w:p>
    <w:p w14:paraId="2D777D91">
      <w:pPr>
        <w:jc w:val="left"/>
        <w:rPr>
          <w:rFonts w:ascii="宋体" w:hAnsi="宋体"/>
          <w:color w:val="auto"/>
          <w:sz w:val="24"/>
          <w:highlight w:val="none"/>
        </w:rPr>
      </w:pPr>
    </w:p>
    <w:p w14:paraId="688F9F1E">
      <w:pPr>
        <w:tabs>
          <w:tab w:val="left" w:pos="640"/>
        </w:tabs>
        <w:jc w:val="center"/>
        <w:rPr>
          <w:rFonts w:hint="eastAsia"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工程建设项目廉政责任书</w:t>
      </w:r>
    </w:p>
    <w:p w14:paraId="3C8CC508">
      <w:pPr>
        <w:tabs>
          <w:tab w:val="left" w:pos="640"/>
        </w:tabs>
        <w:rPr>
          <w:rFonts w:hint="eastAsia" w:ascii="仿宋_GB2312" w:eastAsia="仿宋_GB2312"/>
          <w:color w:val="auto"/>
          <w:sz w:val="32"/>
          <w:highlight w:val="none"/>
        </w:rPr>
      </w:pPr>
    </w:p>
    <w:p w14:paraId="32294B79">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工程项目名称：</w:t>
      </w:r>
    </w:p>
    <w:p w14:paraId="10C812E0">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工程项目地址：</w:t>
      </w:r>
    </w:p>
    <w:p w14:paraId="547E5E54">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甲方：</w:t>
      </w:r>
    </w:p>
    <w:p w14:paraId="07526DAA">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乙方：</w:t>
      </w:r>
    </w:p>
    <w:p w14:paraId="1379998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58F0201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第一条  甲乙双方的责任</w:t>
      </w:r>
    </w:p>
    <w:p w14:paraId="5EB42A43">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（一）应严格遵守国家关于市场准入、项目招标投标、工程建设、施工安装和市场活动等有关</w:t>
      </w:r>
      <w:r>
        <w:rPr>
          <w:rFonts w:hint="eastAsia" w:ascii="仿宋_GB2312" w:eastAsia="仿宋_GB2312"/>
          <w:color w:val="auto"/>
          <w:sz w:val="32"/>
          <w:highlight w:val="none"/>
          <w:lang w:eastAsia="zh-CN"/>
        </w:rPr>
        <w:t>法律法规</w:t>
      </w:r>
      <w:r>
        <w:rPr>
          <w:rFonts w:hint="eastAsia" w:ascii="仿宋_GB2312" w:eastAsia="仿宋_GB2312"/>
          <w:color w:val="auto"/>
          <w:sz w:val="32"/>
          <w:highlight w:val="none"/>
        </w:rPr>
        <w:t>、相关政策</w:t>
      </w:r>
      <w:r>
        <w:rPr>
          <w:rFonts w:hint="eastAsia" w:ascii="仿宋_GB2312" w:eastAsia="仿宋_GB2312"/>
          <w:color w:val="auto"/>
          <w:sz w:val="32"/>
          <w:highlight w:val="none"/>
          <w:lang w:eastAsia="zh-CN"/>
        </w:rPr>
        <w:t>以及</w:t>
      </w:r>
      <w:r>
        <w:rPr>
          <w:rFonts w:hint="eastAsia" w:ascii="仿宋_GB2312" w:eastAsia="仿宋_GB2312"/>
          <w:color w:val="auto"/>
          <w:sz w:val="32"/>
          <w:highlight w:val="none"/>
        </w:rPr>
        <w:t>廉政建设的各项规定。</w:t>
      </w:r>
    </w:p>
    <w:p w14:paraId="3C0D656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（二）严格执行建设工程项目承发包合同文件，自觉按合同办事。</w:t>
      </w:r>
    </w:p>
    <w:p w14:paraId="363BBFA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3D942EE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（四）发现对方在业务活动中有违规、违纪、违法行为的，应及时提醒对方，并向监管单位报告；情节严重的，应向其上级主管部门或纪检监察、司法等有关机关举报。</w:t>
      </w:r>
    </w:p>
    <w:p w14:paraId="66DFE23E">
      <w:pPr>
        <w:tabs>
          <w:tab w:val="left" w:pos="640"/>
        </w:tabs>
        <w:ind w:left="1935" w:hanging="1290"/>
        <w:rPr>
          <w:rFonts w:hint="eastAsia" w:ascii="仿宋_GB2312" w:eastAsia="仿宋_GB2312"/>
          <w:color w:val="auto"/>
          <w:sz w:val="32"/>
          <w:highlight w:val="none"/>
        </w:rPr>
      </w:pPr>
      <w:r>
        <w:rPr>
          <w:rFonts w:hint="eastAsia" w:ascii="仿宋_GB2312" w:eastAsia="仿宋_GB2312"/>
          <w:color w:val="auto"/>
          <w:sz w:val="32"/>
          <w:highlight w:val="none"/>
        </w:rPr>
        <w:t>第二条  甲方的责任</w:t>
      </w:r>
    </w:p>
    <w:p w14:paraId="15E89C6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甲方及甲方相关工作人员，在工程建设的事前、事中、事后应遵守以下规定：</w:t>
      </w:r>
    </w:p>
    <w:p w14:paraId="5DB7BFB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（一）不准向乙方和相关单位索要或接受回扣、礼金、有价证券、贵重物品和好处费、感谢费等。</w:t>
      </w:r>
    </w:p>
    <w:p w14:paraId="7782CB5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不准以任何理由向乙方和相关单位无偿或以明显低于市场价格借用房屋、车辆、金钱或其他贵重物品等。</w:t>
      </w:r>
    </w:p>
    <w:p w14:paraId="200835F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（二）不准在乙方和相关单位报销任何应由甲方或个人支付的费用。</w:t>
      </w:r>
    </w:p>
    <w:p w14:paraId="687DB2E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（三）不准要求、暗示或接受乙方和相关单位为个人装修住房、婚丧嫁娶、配偶子女的工作安排以及出国（境）、旅游等提供方便。</w:t>
      </w:r>
    </w:p>
    <w:p w14:paraId="37F2553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（四）不准参加乙方和相关单位安排的有可能影响公正执行工作任务的宴请和健身、娱乐等活动。</w:t>
      </w:r>
    </w:p>
    <w:p w14:paraId="3EEC712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（五）不准向乙方介绍或</w:t>
      </w:r>
      <w:r>
        <w:rPr>
          <w:rFonts w:ascii="仿宋_GB2312" w:eastAsia="仿宋_GB2312"/>
          <w:color w:val="auto"/>
          <w:sz w:val="32"/>
          <w:highlight w:val="none"/>
        </w:rPr>
        <w:t>为</w:t>
      </w:r>
      <w:r>
        <w:rPr>
          <w:rFonts w:hint="eastAsia" w:ascii="仿宋_GB2312" w:eastAsia="仿宋_GB2312"/>
          <w:color w:val="auto"/>
          <w:sz w:val="32"/>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5E6EFA1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第三条  乙方的责任</w:t>
      </w:r>
    </w:p>
    <w:p w14:paraId="2D4EE43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应与甲方保持正常的业务交往，按照有关法律法规和程序开展业务工作，严格执行工程建设的有关方针、政策，尤其是有关建筑施工安装的强制性标准和规范，并遵守以下规定：</w:t>
      </w:r>
    </w:p>
    <w:p w14:paraId="79CC2C03">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（一）不准以任何理由向甲方、相关单位及其工作人员赠送礼金、有价证券、贵重物品及回扣、好处费、感谢费等。</w:t>
      </w:r>
    </w:p>
    <w:p w14:paraId="03D1CC5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不准以任何理由向甲方、相关单位及其工作人员无偿或以明显低于市场价格出借房屋、车辆、金钱或其他贵重物品等。</w:t>
      </w:r>
    </w:p>
    <w:p w14:paraId="23CD917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（二）不准以任何理由为甲方和相关单位及其工作人员报销应由甲方或个人支付的费用。</w:t>
      </w:r>
    </w:p>
    <w:p w14:paraId="2F687B0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（三）不准明示或暗示为甲方、相关单位或个人装修住房、婚丧嫁娶、配偶子女的工作安排以及出国（境）、旅游等提供方便。</w:t>
      </w:r>
    </w:p>
    <w:p w14:paraId="31546658">
      <w:pPr>
        <w:tabs>
          <w:tab w:val="left" w:pos="640"/>
        </w:tabs>
        <w:ind w:firstLine="645"/>
        <w:rPr>
          <w:rFonts w:ascii="仿宋_GB2312" w:eastAsia="仿宋_GB2312"/>
          <w:color w:val="auto"/>
          <w:sz w:val="32"/>
          <w:highlight w:val="none"/>
        </w:rPr>
      </w:pPr>
      <w:r>
        <w:rPr>
          <w:rFonts w:hint="eastAsia" w:ascii="仿宋_GB2312" w:eastAsia="仿宋_GB2312"/>
          <w:color w:val="auto"/>
          <w:sz w:val="32"/>
          <w:highlight w:val="none"/>
        </w:rPr>
        <w:t>（四）不准以任何理由为甲方、相关单位或个人组织安排有可能影响公正执行工作任务的宴请、健身、娱乐等活动。</w:t>
      </w:r>
    </w:p>
    <w:p w14:paraId="69FCE99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（五）乙方（民企或个体）接受甲方监管单位的监管、监督执行。</w:t>
      </w:r>
    </w:p>
    <w:p w14:paraId="0ED7013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第四条  违约责任</w:t>
      </w:r>
    </w:p>
    <w:p w14:paraId="4875E5F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6C29035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3182795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第五条  本责任书经双方法定代表人或授权代表签字并加盖双方单位公章后立即生效。</w:t>
      </w:r>
    </w:p>
    <w:p w14:paraId="0E65AAC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第六条  本责任书的有效期为双方签署之日起至该工程项目竣工验收合格时止。</w:t>
      </w:r>
    </w:p>
    <w:p w14:paraId="14CDB3D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第七条  本责任书一式四份，由甲乙双方各执一份，送交甲乙双方的监督单位各一份。</w:t>
      </w:r>
    </w:p>
    <w:p w14:paraId="1729E136">
      <w:pPr>
        <w:tabs>
          <w:tab w:val="left" w:pos="640"/>
        </w:tabs>
        <w:rPr>
          <w:rFonts w:hint="eastAsia" w:ascii="仿宋_GB2312" w:eastAsia="仿宋_GB2312"/>
          <w:color w:val="auto"/>
          <w:sz w:val="32"/>
          <w:highlight w:val="none"/>
        </w:rPr>
      </w:pPr>
    </w:p>
    <w:p w14:paraId="6F9A95A7">
      <w:pPr>
        <w:tabs>
          <w:tab w:val="left" w:pos="640"/>
        </w:tabs>
        <w:ind w:firstLine="645"/>
        <w:rPr>
          <w:rFonts w:hint="eastAsia" w:ascii="仿宋_GB2312" w:eastAsia="仿宋_GB2312"/>
          <w:color w:val="auto"/>
          <w:sz w:val="32"/>
          <w:highlight w:val="none"/>
        </w:rPr>
      </w:pPr>
    </w:p>
    <w:p w14:paraId="2ACE7BBB">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甲方单位：（盖章）           乙方单位：（盖章）</w:t>
      </w:r>
    </w:p>
    <w:p w14:paraId="29BC2A15">
      <w:pPr>
        <w:tabs>
          <w:tab w:val="left" w:pos="640"/>
        </w:tabs>
        <w:ind w:firstLine="645"/>
        <w:rPr>
          <w:rFonts w:hint="eastAsia" w:ascii="仿宋_GB2312" w:eastAsia="仿宋_GB2312"/>
          <w:color w:val="auto"/>
          <w:sz w:val="32"/>
          <w:highlight w:val="none"/>
        </w:rPr>
      </w:pPr>
    </w:p>
    <w:p w14:paraId="59546196">
      <w:pPr>
        <w:tabs>
          <w:tab w:val="left" w:pos="640"/>
        </w:tabs>
        <w:ind w:firstLine="645"/>
        <w:rPr>
          <w:rFonts w:hint="eastAsia" w:ascii="仿宋_GB2312" w:eastAsia="仿宋_GB2312"/>
          <w:color w:val="auto"/>
          <w:sz w:val="32"/>
          <w:highlight w:val="none"/>
        </w:rPr>
      </w:pPr>
    </w:p>
    <w:p w14:paraId="2669A86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法定代表人或                  法定代表人或</w:t>
      </w:r>
    </w:p>
    <w:p w14:paraId="1E1D63B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授权代表（签字）：             授权代表（签字）：</w:t>
      </w:r>
    </w:p>
    <w:p w14:paraId="1620D068">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1C93A13C">
      <w:pPr>
        <w:tabs>
          <w:tab w:val="left" w:pos="640"/>
        </w:tabs>
        <w:ind w:firstLine="1280" w:firstLineChars="400"/>
        <w:rPr>
          <w:rFonts w:hint="eastAsia" w:ascii="仿宋_GB2312" w:eastAsia="仿宋_GB2312"/>
          <w:color w:val="auto"/>
          <w:sz w:val="32"/>
          <w:highlight w:val="none"/>
        </w:rPr>
      </w:pPr>
      <w:r>
        <w:rPr>
          <w:rFonts w:hint="eastAsia" w:ascii="仿宋_GB2312" w:eastAsia="仿宋_GB2312"/>
          <w:color w:val="auto"/>
          <w:sz w:val="32"/>
          <w:highlight w:val="none"/>
        </w:rPr>
        <w:t>年   月   日                  年   月   日</w:t>
      </w:r>
    </w:p>
    <w:p w14:paraId="3CDD6787">
      <w:pPr>
        <w:spacing w:before="174" w:line="219" w:lineRule="auto"/>
        <w:rPr>
          <w:rFonts w:ascii="宋体" w:hAnsi="宋体" w:eastAsia="宋体" w:cs="宋体"/>
          <w:sz w:val="24"/>
          <w:szCs w:val="24"/>
          <w:highlight w:val="none"/>
        </w:rPr>
      </w:pPr>
      <w:r>
        <w:rPr>
          <w:rFonts w:hint="eastAsia" w:ascii="仿宋_GB2312" w:eastAsia="仿宋_GB2312"/>
          <w:color w:val="auto"/>
          <w:sz w:val="32"/>
          <w:highlight w:val="none"/>
        </w:rPr>
        <w:br w:type="page"/>
      </w:r>
      <w:r>
        <w:rPr>
          <w:rFonts w:ascii="宋体" w:hAnsi="宋体" w:eastAsia="宋体" w:cs="宋体"/>
          <w:color w:val="505070"/>
          <w:spacing w:val="7"/>
          <w:sz w:val="24"/>
          <w:szCs w:val="24"/>
          <w:highlight w:val="none"/>
        </w:rPr>
        <w:t>附件三：供货通知(根据具体情况进行调整)</w:t>
      </w:r>
    </w:p>
    <w:p w14:paraId="58E180BB">
      <w:pPr>
        <w:spacing w:before="88" w:line="223" w:lineRule="auto"/>
        <w:ind w:firstLine="3752" w:firstLineChars="1400"/>
        <w:rPr>
          <w:rFonts w:hint="eastAsia" w:ascii="宋体" w:hAnsi="宋体" w:eastAsia="宋体" w:cs="宋体"/>
          <w:sz w:val="30"/>
          <w:szCs w:val="30"/>
          <w:highlight w:val="none"/>
        </w:rPr>
      </w:pPr>
      <w:r>
        <w:rPr>
          <w:rFonts w:hint="eastAsia" w:ascii="宋体" w:hAnsi="宋体" w:eastAsia="宋体" w:cs="宋体"/>
          <w:spacing w:val="-16"/>
          <w:sz w:val="30"/>
          <w:szCs w:val="30"/>
          <w:highlight w:val="none"/>
        </w:rPr>
        <w:t>供</w:t>
      </w:r>
      <w:r>
        <w:rPr>
          <w:rFonts w:hint="eastAsia" w:ascii="宋体" w:hAnsi="宋体" w:eastAsia="宋体" w:cs="宋体"/>
          <w:spacing w:val="-39"/>
          <w:sz w:val="30"/>
          <w:szCs w:val="30"/>
          <w:highlight w:val="none"/>
        </w:rPr>
        <w:t xml:space="preserve"> </w:t>
      </w:r>
      <w:r>
        <w:rPr>
          <w:rFonts w:hint="eastAsia" w:ascii="宋体" w:hAnsi="宋体" w:eastAsia="宋体" w:cs="宋体"/>
          <w:spacing w:val="-16"/>
          <w:sz w:val="30"/>
          <w:szCs w:val="30"/>
          <w:highlight w:val="none"/>
        </w:rPr>
        <w:t>货</w:t>
      </w:r>
      <w:r>
        <w:rPr>
          <w:rFonts w:hint="eastAsia" w:ascii="宋体" w:hAnsi="宋体" w:eastAsia="宋体" w:cs="宋体"/>
          <w:spacing w:val="18"/>
          <w:sz w:val="30"/>
          <w:szCs w:val="30"/>
          <w:highlight w:val="none"/>
        </w:rPr>
        <w:t xml:space="preserve"> </w:t>
      </w:r>
      <w:r>
        <w:rPr>
          <w:rFonts w:hint="eastAsia" w:ascii="宋体" w:hAnsi="宋体" w:eastAsia="宋体" w:cs="宋体"/>
          <w:spacing w:val="-16"/>
          <w:sz w:val="30"/>
          <w:szCs w:val="30"/>
          <w:highlight w:val="none"/>
        </w:rPr>
        <w:t>通</w:t>
      </w:r>
      <w:r>
        <w:rPr>
          <w:rFonts w:hint="eastAsia" w:ascii="宋体" w:hAnsi="宋体" w:eastAsia="宋体" w:cs="宋体"/>
          <w:spacing w:val="15"/>
          <w:sz w:val="30"/>
          <w:szCs w:val="30"/>
          <w:highlight w:val="none"/>
        </w:rPr>
        <w:t xml:space="preserve"> </w:t>
      </w:r>
      <w:r>
        <w:rPr>
          <w:rFonts w:hint="eastAsia" w:ascii="宋体" w:hAnsi="宋体" w:eastAsia="宋体" w:cs="宋体"/>
          <w:spacing w:val="-16"/>
          <w:sz w:val="30"/>
          <w:szCs w:val="30"/>
          <w:highlight w:val="none"/>
        </w:rPr>
        <w:t>知</w:t>
      </w:r>
    </w:p>
    <w:p w14:paraId="5BF93883">
      <w:pPr>
        <w:spacing w:before="125" w:line="224" w:lineRule="auto"/>
        <w:ind w:left="7440"/>
        <w:rPr>
          <w:rFonts w:ascii="仿宋" w:hAnsi="仿宋" w:eastAsia="仿宋" w:cs="仿宋"/>
          <w:sz w:val="24"/>
          <w:szCs w:val="24"/>
          <w:highlight w:val="none"/>
        </w:rPr>
      </w:pPr>
      <w:r>
        <w:rPr>
          <w:rFonts w:ascii="仿宋" w:hAnsi="仿宋" w:eastAsia="仿宋" w:cs="仿宋"/>
          <w:spacing w:val="-4"/>
          <w:sz w:val="24"/>
          <w:szCs w:val="24"/>
          <w:highlight w:val="none"/>
        </w:rPr>
        <w:t>编</w:t>
      </w:r>
      <w:r>
        <w:rPr>
          <w:rFonts w:ascii="仿宋" w:hAnsi="仿宋" w:eastAsia="仿宋" w:cs="仿宋"/>
          <w:color w:val="405080"/>
          <w:spacing w:val="-4"/>
          <w:sz w:val="24"/>
          <w:szCs w:val="24"/>
          <w:highlight w:val="none"/>
        </w:rPr>
        <w:t>号</w:t>
      </w:r>
      <w:r>
        <w:rPr>
          <w:rFonts w:ascii="仿宋" w:hAnsi="仿宋" w:eastAsia="仿宋" w:cs="仿宋"/>
          <w:color w:val="405080"/>
          <w:spacing w:val="-23"/>
          <w:sz w:val="24"/>
          <w:szCs w:val="24"/>
          <w:highlight w:val="none"/>
        </w:rPr>
        <w:t xml:space="preserve"> </w:t>
      </w:r>
      <w:r>
        <w:rPr>
          <w:rFonts w:ascii="仿宋" w:hAnsi="仿宋" w:eastAsia="仿宋" w:cs="仿宋"/>
          <w:spacing w:val="-4"/>
          <w:sz w:val="24"/>
          <w:szCs w:val="24"/>
          <w:highlight w:val="none"/>
        </w:rPr>
        <w:t>：</w:t>
      </w:r>
    </w:p>
    <w:p w14:paraId="24253027">
      <w:pPr>
        <w:spacing w:before="169" w:line="220" w:lineRule="auto"/>
        <w:ind w:firstLine="193" w:firstLineChars="100"/>
        <w:rPr>
          <w:rFonts w:ascii="Times New Roman" w:hAnsi="Times New Roman" w:eastAsia="Times New Roman" w:cs="Times New Roman"/>
          <w:sz w:val="23"/>
          <w:szCs w:val="23"/>
          <w:highlight w:val="none"/>
        </w:rPr>
      </w:pPr>
      <w:r>
        <w:rPr>
          <w:rFonts w:ascii="宋体" w:hAnsi="宋体" w:eastAsia="宋体" w:cs="宋体"/>
          <w:color w:val="203050"/>
          <w:spacing w:val="-16"/>
          <w:w w:val="98"/>
          <w:sz w:val="23"/>
          <w:szCs w:val="23"/>
          <w:highlight w:val="none"/>
        </w:rPr>
        <w:t>致：</w:t>
      </w:r>
      <w:r>
        <w:rPr>
          <w:rFonts w:ascii="Times New Roman" w:hAnsi="Times New Roman" w:eastAsia="Times New Roman" w:cs="Times New Roman"/>
          <w:color w:val="203050"/>
          <w:spacing w:val="-16"/>
          <w:w w:val="98"/>
          <w:sz w:val="23"/>
          <w:szCs w:val="23"/>
          <w:highlight w:val="none"/>
        </w:rPr>
        <w:t>XXX</w:t>
      </w:r>
    </w:p>
    <w:p w14:paraId="040F3887">
      <w:pPr>
        <w:spacing w:before="156" w:line="219" w:lineRule="auto"/>
        <w:ind w:firstLine="196" w:firstLineChars="100"/>
        <w:rPr>
          <w:rFonts w:ascii="Times New Roman" w:hAnsi="Times New Roman" w:eastAsia="Times New Roman" w:cs="Times New Roman"/>
          <w:sz w:val="25"/>
          <w:szCs w:val="25"/>
          <w:highlight w:val="none"/>
        </w:rPr>
      </w:pPr>
      <w:r>
        <w:rPr>
          <w:rFonts w:ascii="宋体" w:hAnsi="宋体" w:eastAsia="宋体" w:cs="宋体"/>
          <w:spacing w:val="-17"/>
          <w:w w:val="92"/>
          <w:sz w:val="25"/>
          <w:szCs w:val="25"/>
          <w:highlight w:val="none"/>
        </w:rPr>
        <w:t>合同编号：</w:t>
      </w:r>
      <w:r>
        <w:rPr>
          <w:rFonts w:ascii="Times New Roman" w:hAnsi="Times New Roman" w:eastAsia="Times New Roman" w:cs="Times New Roman"/>
          <w:spacing w:val="-17"/>
          <w:w w:val="92"/>
          <w:sz w:val="25"/>
          <w:szCs w:val="25"/>
          <w:highlight w:val="none"/>
          <w:u w:val="single" w:color="auto"/>
        </w:rPr>
        <w:t>XXXXXX</w:t>
      </w:r>
    </w:p>
    <w:p w14:paraId="014605DC">
      <w:pPr>
        <w:spacing w:before="141" w:line="219" w:lineRule="auto"/>
        <w:ind w:firstLine="244" w:firstLineChars="10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合同名称：南宁轨道地产建筑工程有限责任公司</w:t>
      </w:r>
      <w:r>
        <w:rPr>
          <w:rFonts w:hint="eastAsia" w:ascii="宋体" w:hAnsi="宋体" w:eastAsia="宋体" w:cs="宋体"/>
          <w:sz w:val="24"/>
          <w:szCs w:val="24"/>
          <w:highlight w:val="none"/>
        </w:rPr>
        <w:t>xxxx</w:t>
      </w:r>
      <w:r>
        <w:rPr>
          <w:rFonts w:hint="eastAsia" w:ascii="宋体" w:hAnsi="宋体" w:eastAsia="宋体" w:cs="宋体"/>
          <w:spacing w:val="2"/>
          <w:sz w:val="24"/>
          <w:szCs w:val="24"/>
          <w:highlight w:val="none"/>
        </w:rPr>
        <w:t xml:space="preserve"> 采购合同</w:t>
      </w:r>
    </w:p>
    <w:p w14:paraId="53740C02">
      <w:pPr>
        <w:spacing w:before="158" w:line="220" w:lineRule="auto"/>
        <w:ind w:firstLine="218" w:firstLineChars="100"/>
        <w:rPr>
          <w:rFonts w:hint="eastAsia" w:ascii="宋体" w:hAnsi="宋体" w:eastAsia="宋体" w:cs="宋体"/>
          <w:sz w:val="24"/>
          <w:szCs w:val="24"/>
          <w:highlight w:val="none"/>
        </w:rPr>
      </w:pPr>
      <w:r>
        <w:rPr>
          <w:rFonts w:hint="eastAsia" w:ascii="宋体" w:hAnsi="宋体" w:eastAsia="宋体" w:cs="宋体"/>
          <w:color w:val="404070"/>
          <w:spacing w:val="-11"/>
          <w:sz w:val="24"/>
          <w:szCs w:val="24"/>
          <w:highlight w:val="none"/>
        </w:rPr>
        <w:t>工程项目：</w:t>
      </w:r>
    </w:p>
    <w:p w14:paraId="15E20F1C">
      <w:pPr>
        <w:spacing w:before="152" w:line="219" w:lineRule="auto"/>
        <w:ind w:firstLine="216" w:firstLineChars="100"/>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交货地点：</w:t>
      </w:r>
    </w:p>
    <w:p w14:paraId="25ADE4E0">
      <w:pPr>
        <w:spacing w:before="155" w:line="219" w:lineRule="auto"/>
        <w:ind w:firstLine="230" w:firstLineChars="100"/>
        <w:rPr>
          <w:rFonts w:hint="eastAsia" w:ascii="宋体" w:hAnsi="宋体" w:eastAsia="宋体" w:cs="宋体"/>
          <w:sz w:val="24"/>
          <w:szCs w:val="24"/>
          <w:highlight w:val="none"/>
        </w:rPr>
      </w:pPr>
      <w:r>
        <w:rPr>
          <w:rFonts w:hint="eastAsia" w:ascii="宋体" w:hAnsi="宋体" w:eastAsia="宋体" w:cs="宋体"/>
          <w:color w:val="404070"/>
          <w:spacing w:val="-5"/>
          <w:sz w:val="24"/>
          <w:szCs w:val="24"/>
          <w:highlight w:val="none"/>
        </w:rPr>
        <w:t xml:space="preserve">收货人：                             </w:t>
      </w:r>
      <w:r>
        <w:rPr>
          <w:rFonts w:hint="eastAsia" w:ascii="宋体" w:hAnsi="宋体" w:eastAsia="宋体" w:cs="宋体"/>
          <w:color w:val="203050"/>
          <w:spacing w:val="-5"/>
          <w:sz w:val="24"/>
          <w:szCs w:val="24"/>
          <w:highlight w:val="none"/>
        </w:rPr>
        <w:t>联系电话：</w:t>
      </w:r>
    </w:p>
    <w:p w14:paraId="32F3C718">
      <w:pPr>
        <w:spacing w:before="156" w:line="223" w:lineRule="auto"/>
        <w:ind w:firstLine="236" w:firstLineChars="10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 xml:space="preserve">项目负责人：                       </w:t>
      </w:r>
      <w:r>
        <w:rPr>
          <w:rFonts w:hint="eastAsia" w:ascii="宋体" w:hAnsi="宋体" w:eastAsia="宋体" w:cs="宋体"/>
          <w:spacing w:val="-2"/>
          <w:sz w:val="24"/>
          <w:szCs w:val="24"/>
          <w:highlight w:val="none"/>
          <w:lang w:val="en-US" w:eastAsia="zh-CN"/>
        </w:rPr>
        <w:t xml:space="preserve"> </w:t>
      </w:r>
      <w:r>
        <w:rPr>
          <w:rFonts w:hint="eastAsia" w:ascii="宋体" w:hAnsi="宋体" w:eastAsia="宋体" w:cs="宋体"/>
          <w:spacing w:val="-2"/>
          <w:sz w:val="24"/>
          <w:szCs w:val="24"/>
          <w:highlight w:val="none"/>
        </w:rPr>
        <w:t>联系电话：</w:t>
      </w:r>
    </w:p>
    <w:p w14:paraId="2A0BEF34">
      <w:pPr>
        <w:spacing w:before="149" w:line="219" w:lineRule="auto"/>
        <w:ind w:firstLine="236" w:firstLineChars="100"/>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兹通知我司需要以下物资，请于下列日期送货至本供货通知的工程</w:t>
      </w:r>
      <w:r>
        <w:rPr>
          <w:rFonts w:hint="eastAsia" w:ascii="宋体" w:hAnsi="宋体" w:eastAsia="宋体" w:cs="宋体"/>
          <w:spacing w:val="-2"/>
          <w:sz w:val="24"/>
          <w:szCs w:val="24"/>
          <w:highlight w:val="none"/>
          <w:lang w:val="en-US" w:eastAsia="zh-CN"/>
        </w:rPr>
        <w:t>项目工</w:t>
      </w:r>
      <w:r>
        <w:rPr>
          <w:rFonts w:hint="eastAsia" w:ascii="宋体" w:hAnsi="宋体" w:eastAsia="宋体" w:cs="宋体"/>
          <w:spacing w:val="-2"/>
          <w:sz w:val="24"/>
          <w:szCs w:val="24"/>
          <w:highlight w:val="none"/>
        </w:rPr>
        <w:t>地。</w:t>
      </w:r>
    </w:p>
    <w:p w14:paraId="10FD5375">
      <w:pPr>
        <w:spacing w:before="201"/>
        <w:rPr>
          <w:rFonts w:hint="eastAsia" w:ascii="宋体" w:hAnsi="宋体" w:eastAsia="宋体" w:cs="宋体"/>
          <w:sz w:val="24"/>
          <w:szCs w:val="24"/>
          <w:highlight w:val="none"/>
        </w:rPr>
      </w:pPr>
    </w:p>
    <w:tbl>
      <w:tblPr>
        <w:tblStyle w:val="8"/>
        <w:tblW w:w="9000" w:type="dxa"/>
        <w:tblInd w:w="5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6"/>
        <w:gridCol w:w="1012"/>
        <w:gridCol w:w="1107"/>
        <w:gridCol w:w="881"/>
        <w:gridCol w:w="1181"/>
        <w:gridCol w:w="1088"/>
        <w:gridCol w:w="918"/>
        <w:gridCol w:w="769"/>
        <w:gridCol w:w="1238"/>
      </w:tblGrid>
      <w:tr w14:paraId="05930B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82" w:hRule="atLeast"/>
        </w:trPr>
        <w:tc>
          <w:tcPr>
            <w:tcW w:w="806" w:type="dxa"/>
            <w:vAlign w:val="top"/>
          </w:tcPr>
          <w:p w14:paraId="6545D4CC">
            <w:pPr>
              <w:spacing w:line="246" w:lineRule="auto"/>
              <w:rPr>
                <w:rFonts w:hint="eastAsia" w:ascii="宋体" w:hAnsi="宋体" w:eastAsia="宋体" w:cs="宋体"/>
                <w:sz w:val="24"/>
                <w:szCs w:val="24"/>
                <w:highlight w:val="none"/>
              </w:rPr>
            </w:pPr>
          </w:p>
          <w:p w14:paraId="4B492BA5">
            <w:pPr>
              <w:pStyle w:val="9"/>
              <w:spacing w:before="78" w:line="221" w:lineRule="auto"/>
              <w:ind w:left="105"/>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序号</w:t>
            </w:r>
          </w:p>
        </w:tc>
        <w:tc>
          <w:tcPr>
            <w:tcW w:w="1012" w:type="dxa"/>
            <w:vAlign w:val="top"/>
          </w:tcPr>
          <w:p w14:paraId="7187A739">
            <w:pPr>
              <w:spacing w:line="248" w:lineRule="auto"/>
              <w:rPr>
                <w:rFonts w:hint="eastAsia" w:ascii="宋体" w:hAnsi="宋体" w:eastAsia="宋体" w:cs="宋体"/>
                <w:sz w:val="24"/>
                <w:szCs w:val="24"/>
                <w:highlight w:val="none"/>
              </w:rPr>
            </w:pPr>
          </w:p>
          <w:p w14:paraId="348A47FD">
            <w:pPr>
              <w:pStyle w:val="9"/>
              <w:spacing w:before="78" w:line="221" w:lineRule="auto"/>
              <w:ind w:left="131"/>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名称</w:t>
            </w:r>
          </w:p>
        </w:tc>
        <w:tc>
          <w:tcPr>
            <w:tcW w:w="1107" w:type="dxa"/>
            <w:vAlign w:val="top"/>
          </w:tcPr>
          <w:p w14:paraId="2BA68A17">
            <w:pPr>
              <w:spacing w:line="246" w:lineRule="auto"/>
              <w:rPr>
                <w:rFonts w:hint="eastAsia" w:ascii="宋体" w:hAnsi="宋体" w:eastAsia="宋体" w:cs="宋体"/>
                <w:sz w:val="24"/>
                <w:szCs w:val="24"/>
                <w:highlight w:val="none"/>
              </w:rPr>
            </w:pPr>
          </w:p>
          <w:p w14:paraId="0288EA47">
            <w:pPr>
              <w:pStyle w:val="9"/>
              <w:spacing w:before="78" w:line="221" w:lineRule="auto"/>
              <w:ind w:left="232"/>
              <w:rPr>
                <w:rFonts w:hint="eastAsia" w:ascii="宋体" w:hAnsi="宋体" w:eastAsia="宋体" w:cs="宋体"/>
                <w:sz w:val="24"/>
                <w:szCs w:val="24"/>
                <w:highlight w:val="none"/>
              </w:rPr>
            </w:pPr>
            <w:r>
              <w:rPr>
                <w:rFonts w:hint="eastAsia" w:ascii="宋体" w:hAnsi="宋体" w:eastAsia="宋体" w:cs="宋体"/>
                <w:color w:val="405060"/>
                <w:spacing w:val="7"/>
                <w:sz w:val="24"/>
                <w:szCs w:val="24"/>
                <w:highlight w:val="none"/>
              </w:rPr>
              <w:t>型号</w:t>
            </w:r>
          </w:p>
        </w:tc>
        <w:tc>
          <w:tcPr>
            <w:tcW w:w="881" w:type="dxa"/>
            <w:vAlign w:val="top"/>
          </w:tcPr>
          <w:p w14:paraId="291548BF">
            <w:pPr>
              <w:spacing w:line="246" w:lineRule="auto"/>
              <w:rPr>
                <w:rFonts w:hint="eastAsia" w:ascii="宋体" w:hAnsi="宋体" w:eastAsia="宋体" w:cs="宋体"/>
                <w:sz w:val="24"/>
                <w:szCs w:val="24"/>
                <w:highlight w:val="none"/>
              </w:rPr>
            </w:pPr>
          </w:p>
          <w:p w14:paraId="63C9F709">
            <w:pPr>
              <w:pStyle w:val="9"/>
              <w:spacing w:before="78" w:line="220" w:lineRule="auto"/>
              <w:ind w:left="212"/>
              <w:rPr>
                <w:rFonts w:hint="eastAsia" w:ascii="宋体" w:hAnsi="宋体" w:eastAsia="宋体" w:cs="宋体"/>
                <w:sz w:val="24"/>
                <w:szCs w:val="24"/>
                <w:highlight w:val="none"/>
              </w:rPr>
            </w:pPr>
            <w:r>
              <w:rPr>
                <w:rFonts w:hint="eastAsia" w:ascii="宋体" w:hAnsi="宋体" w:eastAsia="宋体" w:cs="宋体"/>
                <w:color w:val="303060"/>
                <w:spacing w:val="-5"/>
                <w:sz w:val="24"/>
                <w:szCs w:val="24"/>
                <w:highlight w:val="none"/>
              </w:rPr>
              <w:t>单</w:t>
            </w:r>
            <w:r>
              <w:rPr>
                <w:rFonts w:hint="eastAsia" w:ascii="宋体" w:hAnsi="宋体" w:eastAsia="宋体" w:cs="宋体"/>
                <w:spacing w:val="-5"/>
                <w:sz w:val="24"/>
                <w:szCs w:val="24"/>
                <w:highlight w:val="none"/>
              </w:rPr>
              <w:t>位</w:t>
            </w:r>
          </w:p>
        </w:tc>
        <w:tc>
          <w:tcPr>
            <w:tcW w:w="1181" w:type="dxa"/>
            <w:vAlign w:val="top"/>
          </w:tcPr>
          <w:p w14:paraId="2886DC18">
            <w:pPr>
              <w:spacing w:line="246" w:lineRule="auto"/>
              <w:rPr>
                <w:rFonts w:hint="eastAsia" w:ascii="宋体" w:hAnsi="宋体" w:eastAsia="宋体" w:cs="宋体"/>
                <w:sz w:val="24"/>
                <w:szCs w:val="24"/>
                <w:highlight w:val="none"/>
              </w:rPr>
            </w:pPr>
          </w:p>
          <w:p w14:paraId="49E83039">
            <w:pPr>
              <w:pStyle w:val="9"/>
              <w:spacing w:before="78" w:line="220" w:lineRule="auto"/>
              <w:ind w:left="124"/>
              <w:rPr>
                <w:rFonts w:hint="eastAsia" w:ascii="宋体" w:hAnsi="宋体" w:eastAsia="宋体" w:cs="宋体"/>
                <w:sz w:val="24"/>
                <w:szCs w:val="24"/>
                <w:highlight w:val="none"/>
              </w:rPr>
            </w:pPr>
            <w:r>
              <w:rPr>
                <w:rFonts w:hint="eastAsia" w:ascii="宋体" w:hAnsi="宋体" w:eastAsia="宋体" w:cs="宋体"/>
                <w:color w:val="606080"/>
                <w:spacing w:val="2"/>
                <w:sz w:val="24"/>
                <w:szCs w:val="24"/>
                <w:highlight w:val="none"/>
              </w:rPr>
              <w:t>总需求量</w:t>
            </w:r>
          </w:p>
        </w:tc>
        <w:tc>
          <w:tcPr>
            <w:tcW w:w="1088" w:type="dxa"/>
            <w:vAlign w:val="top"/>
          </w:tcPr>
          <w:p w14:paraId="60C9A793">
            <w:pPr>
              <w:pStyle w:val="9"/>
              <w:spacing w:before="142" w:line="218" w:lineRule="auto"/>
              <w:rPr>
                <w:rFonts w:hint="eastAsia" w:ascii="宋体" w:hAnsi="宋体" w:eastAsia="宋体" w:cs="宋体"/>
                <w:sz w:val="24"/>
                <w:szCs w:val="24"/>
                <w:highlight w:val="none"/>
              </w:rPr>
            </w:pPr>
            <w:r>
              <w:rPr>
                <w:rFonts w:hint="eastAsia" w:ascii="宋体" w:hAnsi="宋体" w:eastAsia="宋体" w:cs="宋体"/>
                <w:color w:val="203050"/>
                <w:spacing w:val="2"/>
                <w:sz w:val="24"/>
                <w:szCs w:val="24"/>
                <w:highlight w:val="none"/>
              </w:rPr>
              <w:t>综合</w:t>
            </w:r>
            <w:r>
              <w:rPr>
                <w:rFonts w:hint="eastAsia" w:ascii="宋体" w:hAnsi="宋体" w:eastAsia="宋体" w:cs="宋体"/>
                <w:color w:val="404050"/>
                <w:spacing w:val="2"/>
                <w:sz w:val="24"/>
                <w:szCs w:val="24"/>
                <w:highlight w:val="none"/>
              </w:rPr>
              <w:t>单价</w:t>
            </w:r>
          </w:p>
          <w:p w14:paraId="74AAC228">
            <w:pPr>
              <w:pStyle w:val="9"/>
              <w:spacing w:before="159" w:line="220" w:lineRule="auto"/>
              <w:ind w:firstLine="198" w:firstLineChars="100"/>
              <w:rPr>
                <w:rFonts w:hint="eastAsia" w:ascii="宋体" w:hAnsi="宋体" w:eastAsia="宋体" w:cs="宋体"/>
                <w:sz w:val="24"/>
                <w:szCs w:val="24"/>
                <w:highlight w:val="none"/>
              </w:rPr>
            </w:pPr>
            <w:r>
              <w:rPr>
                <w:rFonts w:hint="eastAsia" w:ascii="宋体" w:hAnsi="宋体" w:eastAsia="宋体" w:cs="宋体"/>
                <w:color w:val="202040"/>
                <w:spacing w:val="-21"/>
                <w:sz w:val="24"/>
                <w:szCs w:val="24"/>
                <w:highlight w:val="none"/>
              </w:rPr>
              <w:t>(</w:t>
            </w:r>
            <w:r>
              <w:rPr>
                <w:rFonts w:hint="eastAsia" w:ascii="宋体" w:hAnsi="宋体" w:eastAsia="宋体" w:cs="宋体"/>
                <w:color w:val="202040"/>
                <w:spacing w:val="-47"/>
                <w:sz w:val="24"/>
                <w:szCs w:val="24"/>
                <w:highlight w:val="none"/>
              </w:rPr>
              <w:t xml:space="preserve"> </w:t>
            </w:r>
            <w:r>
              <w:rPr>
                <w:rFonts w:hint="eastAsia" w:ascii="宋体" w:hAnsi="宋体" w:eastAsia="宋体" w:cs="宋体"/>
                <w:color w:val="202040"/>
                <w:spacing w:val="-21"/>
                <w:sz w:val="24"/>
                <w:szCs w:val="24"/>
                <w:highlight w:val="none"/>
              </w:rPr>
              <w:t>元</w:t>
            </w:r>
            <w:r>
              <w:rPr>
                <w:rFonts w:hint="eastAsia" w:ascii="宋体" w:hAnsi="宋体" w:eastAsia="宋体" w:cs="宋体"/>
                <w:spacing w:val="-21"/>
                <w:sz w:val="24"/>
                <w:szCs w:val="24"/>
                <w:highlight w:val="none"/>
              </w:rPr>
              <w:t>)</w:t>
            </w:r>
          </w:p>
        </w:tc>
        <w:tc>
          <w:tcPr>
            <w:tcW w:w="918" w:type="dxa"/>
            <w:vAlign w:val="top"/>
          </w:tcPr>
          <w:p w14:paraId="52CE3E10">
            <w:pPr>
              <w:pStyle w:val="9"/>
              <w:spacing w:before="142" w:line="218" w:lineRule="auto"/>
              <w:ind w:firstLine="250" w:firstLineChars="100"/>
              <w:rPr>
                <w:rFonts w:hint="eastAsia" w:ascii="宋体" w:hAnsi="宋体" w:eastAsia="宋体" w:cs="宋体"/>
                <w:sz w:val="24"/>
                <w:szCs w:val="24"/>
                <w:highlight w:val="none"/>
              </w:rPr>
            </w:pPr>
            <w:r>
              <w:rPr>
                <w:rFonts w:hint="eastAsia" w:ascii="宋体" w:hAnsi="宋体" w:eastAsia="宋体" w:cs="宋体"/>
                <w:color w:val="202040"/>
                <w:spacing w:val="5"/>
                <w:sz w:val="24"/>
                <w:szCs w:val="24"/>
                <w:highlight w:val="none"/>
              </w:rPr>
              <w:t>合价</w:t>
            </w:r>
          </w:p>
          <w:p w14:paraId="501E4CBE">
            <w:pPr>
              <w:pStyle w:val="9"/>
              <w:spacing w:before="159" w:line="220" w:lineRule="auto"/>
              <w:ind w:firstLine="198" w:firstLineChars="100"/>
              <w:rPr>
                <w:rFonts w:hint="eastAsia" w:ascii="宋体" w:hAnsi="宋体" w:eastAsia="宋体" w:cs="宋体"/>
                <w:sz w:val="24"/>
                <w:szCs w:val="24"/>
                <w:highlight w:val="none"/>
              </w:rPr>
            </w:pPr>
            <w:r>
              <w:rPr>
                <w:rFonts w:hint="eastAsia" w:ascii="宋体" w:hAnsi="宋体" w:eastAsia="宋体" w:cs="宋体"/>
                <w:color w:val="303060"/>
                <w:spacing w:val="-21"/>
                <w:sz w:val="24"/>
                <w:szCs w:val="24"/>
                <w:highlight w:val="none"/>
              </w:rPr>
              <w:t>(</w:t>
            </w:r>
            <w:r>
              <w:rPr>
                <w:rFonts w:hint="eastAsia" w:ascii="宋体" w:hAnsi="宋体" w:eastAsia="宋体" w:cs="宋体"/>
                <w:color w:val="303060"/>
                <w:spacing w:val="-69"/>
                <w:sz w:val="24"/>
                <w:szCs w:val="24"/>
                <w:highlight w:val="none"/>
              </w:rPr>
              <w:t xml:space="preserve"> </w:t>
            </w:r>
            <w:r>
              <w:rPr>
                <w:rFonts w:hint="eastAsia" w:ascii="宋体" w:hAnsi="宋体" w:eastAsia="宋体" w:cs="宋体"/>
                <w:spacing w:val="-21"/>
                <w:sz w:val="24"/>
                <w:szCs w:val="24"/>
                <w:highlight w:val="none"/>
              </w:rPr>
              <w:t>元</w:t>
            </w:r>
            <w:r>
              <w:rPr>
                <w:rFonts w:hint="eastAsia" w:ascii="宋体" w:hAnsi="宋体" w:eastAsia="宋体" w:cs="宋体"/>
                <w:color w:val="403080"/>
                <w:spacing w:val="-21"/>
                <w:sz w:val="24"/>
                <w:szCs w:val="24"/>
                <w:highlight w:val="none"/>
              </w:rPr>
              <w:t>)</w:t>
            </w:r>
          </w:p>
        </w:tc>
        <w:tc>
          <w:tcPr>
            <w:tcW w:w="769" w:type="dxa"/>
            <w:vAlign w:val="top"/>
          </w:tcPr>
          <w:p w14:paraId="066E622B">
            <w:pPr>
              <w:spacing w:line="246" w:lineRule="auto"/>
              <w:rPr>
                <w:rFonts w:hint="eastAsia" w:ascii="宋体" w:hAnsi="宋体" w:eastAsia="宋体" w:cs="宋体"/>
                <w:sz w:val="24"/>
                <w:szCs w:val="24"/>
                <w:highlight w:val="none"/>
              </w:rPr>
            </w:pPr>
          </w:p>
          <w:p w14:paraId="4B72B734">
            <w:pPr>
              <w:pStyle w:val="9"/>
              <w:spacing w:before="78" w:line="221" w:lineRule="auto"/>
              <w:ind w:left="148"/>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备注</w:t>
            </w:r>
          </w:p>
        </w:tc>
        <w:tc>
          <w:tcPr>
            <w:tcW w:w="1238" w:type="dxa"/>
            <w:vAlign w:val="top"/>
          </w:tcPr>
          <w:p w14:paraId="27D4FEDD">
            <w:pPr>
              <w:spacing w:line="243" w:lineRule="auto"/>
              <w:rPr>
                <w:rFonts w:hint="eastAsia" w:ascii="宋体" w:hAnsi="宋体" w:eastAsia="宋体" w:cs="宋体"/>
                <w:sz w:val="24"/>
                <w:szCs w:val="24"/>
                <w:highlight w:val="none"/>
              </w:rPr>
            </w:pPr>
          </w:p>
          <w:p w14:paraId="03166AB6">
            <w:pPr>
              <w:pStyle w:val="9"/>
              <w:spacing w:before="78" w:line="219" w:lineRule="auto"/>
              <w:ind w:left="129"/>
              <w:rPr>
                <w:rFonts w:hint="eastAsia" w:ascii="宋体" w:hAnsi="宋体" w:eastAsia="宋体" w:cs="宋体"/>
                <w:sz w:val="24"/>
                <w:szCs w:val="24"/>
                <w:highlight w:val="none"/>
              </w:rPr>
            </w:pPr>
            <w:r>
              <w:rPr>
                <w:rFonts w:hint="eastAsia" w:ascii="宋体" w:hAnsi="宋体" w:eastAsia="宋体" w:cs="宋体"/>
                <w:color w:val="404060"/>
                <w:spacing w:val="3"/>
                <w:sz w:val="24"/>
                <w:szCs w:val="24"/>
                <w:highlight w:val="none"/>
              </w:rPr>
              <w:t>到货日期</w:t>
            </w:r>
          </w:p>
        </w:tc>
      </w:tr>
      <w:tr w14:paraId="36CEFB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806" w:type="dxa"/>
            <w:vAlign w:val="top"/>
          </w:tcPr>
          <w:p w14:paraId="3E647BD5">
            <w:pPr>
              <w:pStyle w:val="9"/>
              <w:spacing w:before="127" w:line="232" w:lineRule="auto"/>
              <w:ind w:left="285"/>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012" w:type="dxa"/>
            <w:vAlign w:val="top"/>
          </w:tcPr>
          <w:p w14:paraId="659761CC">
            <w:pPr>
              <w:rPr>
                <w:rFonts w:hint="eastAsia" w:ascii="宋体" w:hAnsi="宋体" w:eastAsia="宋体" w:cs="宋体"/>
                <w:sz w:val="24"/>
                <w:szCs w:val="24"/>
                <w:highlight w:val="none"/>
              </w:rPr>
            </w:pPr>
          </w:p>
        </w:tc>
        <w:tc>
          <w:tcPr>
            <w:tcW w:w="1107" w:type="dxa"/>
            <w:vAlign w:val="top"/>
          </w:tcPr>
          <w:p w14:paraId="3239BA06">
            <w:pPr>
              <w:rPr>
                <w:rFonts w:hint="eastAsia" w:ascii="宋体" w:hAnsi="宋体" w:eastAsia="宋体" w:cs="宋体"/>
                <w:sz w:val="24"/>
                <w:szCs w:val="24"/>
                <w:highlight w:val="none"/>
              </w:rPr>
            </w:pPr>
          </w:p>
        </w:tc>
        <w:tc>
          <w:tcPr>
            <w:tcW w:w="881" w:type="dxa"/>
            <w:vAlign w:val="top"/>
          </w:tcPr>
          <w:p w14:paraId="34A55127">
            <w:pPr>
              <w:rPr>
                <w:rFonts w:hint="eastAsia" w:ascii="宋体" w:hAnsi="宋体" w:eastAsia="宋体" w:cs="宋体"/>
                <w:sz w:val="24"/>
                <w:szCs w:val="24"/>
                <w:highlight w:val="none"/>
              </w:rPr>
            </w:pPr>
          </w:p>
        </w:tc>
        <w:tc>
          <w:tcPr>
            <w:tcW w:w="1181" w:type="dxa"/>
            <w:vAlign w:val="top"/>
          </w:tcPr>
          <w:p w14:paraId="089601AF">
            <w:pPr>
              <w:rPr>
                <w:rFonts w:hint="eastAsia" w:ascii="宋体" w:hAnsi="宋体" w:eastAsia="宋体" w:cs="宋体"/>
                <w:sz w:val="24"/>
                <w:szCs w:val="24"/>
                <w:highlight w:val="none"/>
              </w:rPr>
            </w:pPr>
          </w:p>
        </w:tc>
        <w:tc>
          <w:tcPr>
            <w:tcW w:w="1088" w:type="dxa"/>
            <w:vAlign w:val="top"/>
          </w:tcPr>
          <w:p w14:paraId="321199F5">
            <w:pPr>
              <w:rPr>
                <w:rFonts w:hint="eastAsia" w:ascii="宋体" w:hAnsi="宋体" w:eastAsia="宋体" w:cs="宋体"/>
                <w:sz w:val="24"/>
                <w:szCs w:val="24"/>
                <w:highlight w:val="none"/>
              </w:rPr>
            </w:pPr>
          </w:p>
        </w:tc>
        <w:tc>
          <w:tcPr>
            <w:tcW w:w="918" w:type="dxa"/>
            <w:vAlign w:val="top"/>
          </w:tcPr>
          <w:p w14:paraId="79A45E8A">
            <w:pPr>
              <w:rPr>
                <w:rFonts w:hint="eastAsia" w:ascii="宋体" w:hAnsi="宋体" w:eastAsia="宋体" w:cs="宋体"/>
                <w:sz w:val="24"/>
                <w:szCs w:val="24"/>
                <w:highlight w:val="none"/>
              </w:rPr>
            </w:pPr>
          </w:p>
        </w:tc>
        <w:tc>
          <w:tcPr>
            <w:tcW w:w="769" w:type="dxa"/>
            <w:vAlign w:val="top"/>
          </w:tcPr>
          <w:p w14:paraId="0A8E2B4E">
            <w:pPr>
              <w:rPr>
                <w:rFonts w:hint="eastAsia" w:ascii="宋体" w:hAnsi="宋体" w:eastAsia="宋体" w:cs="宋体"/>
                <w:sz w:val="24"/>
                <w:szCs w:val="24"/>
                <w:highlight w:val="none"/>
              </w:rPr>
            </w:pPr>
          </w:p>
        </w:tc>
        <w:tc>
          <w:tcPr>
            <w:tcW w:w="1238" w:type="dxa"/>
            <w:vAlign w:val="top"/>
          </w:tcPr>
          <w:p w14:paraId="394565CA">
            <w:pPr>
              <w:rPr>
                <w:rFonts w:hint="eastAsia" w:ascii="宋体" w:hAnsi="宋体" w:eastAsia="宋体" w:cs="宋体"/>
                <w:sz w:val="24"/>
                <w:szCs w:val="24"/>
                <w:highlight w:val="none"/>
              </w:rPr>
            </w:pPr>
          </w:p>
        </w:tc>
      </w:tr>
      <w:tr w14:paraId="732AD8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806" w:type="dxa"/>
            <w:vAlign w:val="top"/>
          </w:tcPr>
          <w:p w14:paraId="022A4E50">
            <w:pPr>
              <w:pStyle w:val="9"/>
              <w:spacing w:before="127" w:line="232" w:lineRule="auto"/>
              <w:ind w:left="285"/>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012" w:type="dxa"/>
            <w:vAlign w:val="top"/>
          </w:tcPr>
          <w:p w14:paraId="115AE7C6">
            <w:pPr>
              <w:rPr>
                <w:rFonts w:hint="eastAsia" w:ascii="宋体" w:hAnsi="宋体" w:eastAsia="宋体" w:cs="宋体"/>
                <w:sz w:val="24"/>
                <w:szCs w:val="24"/>
                <w:highlight w:val="none"/>
              </w:rPr>
            </w:pPr>
          </w:p>
        </w:tc>
        <w:tc>
          <w:tcPr>
            <w:tcW w:w="1107" w:type="dxa"/>
            <w:vAlign w:val="top"/>
          </w:tcPr>
          <w:p w14:paraId="2632841F">
            <w:pPr>
              <w:rPr>
                <w:rFonts w:hint="eastAsia" w:ascii="宋体" w:hAnsi="宋体" w:eastAsia="宋体" w:cs="宋体"/>
                <w:sz w:val="24"/>
                <w:szCs w:val="24"/>
                <w:highlight w:val="none"/>
              </w:rPr>
            </w:pPr>
          </w:p>
        </w:tc>
        <w:tc>
          <w:tcPr>
            <w:tcW w:w="881" w:type="dxa"/>
            <w:vAlign w:val="top"/>
          </w:tcPr>
          <w:p w14:paraId="235A9BDE">
            <w:pPr>
              <w:rPr>
                <w:rFonts w:hint="eastAsia" w:ascii="宋体" w:hAnsi="宋体" w:eastAsia="宋体" w:cs="宋体"/>
                <w:sz w:val="24"/>
                <w:szCs w:val="24"/>
                <w:highlight w:val="none"/>
              </w:rPr>
            </w:pPr>
          </w:p>
        </w:tc>
        <w:tc>
          <w:tcPr>
            <w:tcW w:w="1181" w:type="dxa"/>
            <w:vAlign w:val="top"/>
          </w:tcPr>
          <w:p w14:paraId="6FBE97B3">
            <w:pPr>
              <w:rPr>
                <w:rFonts w:hint="eastAsia" w:ascii="宋体" w:hAnsi="宋体" w:eastAsia="宋体" w:cs="宋体"/>
                <w:sz w:val="24"/>
                <w:szCs w:val="24"/>
                <w:highlight w:val="none"/>
              </w:rPr>
            </w:pPr>
          </w:p>
        </w:tc>
        <w:tc>
          <w:tcPr>
            <w:tcW w:w="1088" w:type="dxa"/>
            <w:vAlign w:val="top"/>
          </w:tcPr>
          <w:p w14:paraId="15472A74">
            <w:pPr>
              <w:rPr>
                <w:rFonts w:hint="eastAsia" w:ascii="宋体" w:hAnsi="宋体" w:eastAsia="宋体" w:cs="宋体"/>
                <w:sz w:val="24"/>
                <w:szCs w:val="24"/>
                <w:highlight w:val="none"/>
              </w:rPr>
            </w:pPr>
          </w:p>
        </w:tc>
        <w:tc>
          <w:tcPr>
            <w:tcW w:w="918" w:type="dxa"/>
            <w:vAlign w:val="top"/>
          </w:tcPr>
          <w:p w14:paraId="7D59DF55">
            <w:pPr>
              <w:rPr>
                <w:rFonts w:hint="eastAsia" w:ascii="宋体" w:hAnsi="宋体" w:eastAsia="宋体" w:cs="宋体"/>
                <w:sz w:val="24"/>
                <w:szCs w:val="24"/>
                <w:highlight w:val="none"/>
              </w:rPr>
            </w:pPr>
          </w:p>
        </w:tc>
        <w:tc>
          <w:tcPr>
            <w:tcW w:w="769" w:type="dxa"/>
            <w:vAlign w:val="top"/>
          </w:tcPr>
          <w:p w14:paraId="0DFD90E9">
            <w:pPr>
              <w:rPr>
                <w:rFonts w:hint="eastAsia" w:ascii="宋体" w:hAnsi="宋体" w:eastAsia="宋体" w:cs="宋体"/>
                <w:sz w:val="24"/>
                <w:szCs w:val="24"/>
                <w:highlight w:val="none"/>
              </w:rPr>
            </w:pPr>
          </w:p>
        </w:tc>
        <w:tc>
          <w:tcPr>
            <w:tcW w:w="1238" w:type="dxa"/>
            <w:vAlign w:val="top"/>
          </w:tcPr>
          <w:p w14:paraId="06E91AA7">
            <w:pPr>
              <w:rPr>
                <w:rFonts w:hint="eastAsia" w:ascii="宋体" w:hAnsi="宋体" w:eastAsia="宋体" w:cs="宋体"/>
                <w:sz w:val="24"/>
                <w:szCs w:val="24"/>
                <w:highlight w:val="none"/>
              </w:rPr>
            </w:pPr>
          </w:p>
        </w:tc>
      </w:tr>
      <w:tr w14:paraId="62D73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806" w:type="dxa"/>
            <w:vAlign w:val="top"/>
          </w:tcPr>
          <w:p w14:paraId="7A21F0E8">
            <w:pPr>
              <w:pStyle w:val="9"/>
              <w:spacing w:before="128" w:line="231" w:lineRule="auto"/>
              <w:ind w:left="285"/>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012" w:type="dxa"/>
            <w:vAlign w:val="top"/>
          </w:tcPr>
          <w:p w14:paraId="77E54E8E">
            <w:pPr>
              <w:rPr>
                <w:rFonts w:hint="eastAsia" w:ascii="宋体" w:hAnsi="宋体" w:eastAsia="宋体" w:cs="宋体"/>
                <w:sz w:val="24"/>
                <w:szCs w:val="24"/>
                <w:highlight w:val="none"/>
              </w:rPr>
            </w:pPr>
          </w:p>
        </w:tc>
        <w:tc>
          <w:tcPr>
            <w:tcW w:w="1107" w:type="dxa"/>
            <w:vAlign w:val="top"/>
          </w:tcPr>
          <w:p w14:paraId="1868A037">
            <w:pPr>
              <w:rPr>
                <w:rFonts w:hint="eastAsia" w:ascii="宋体" w:hAnsi="宋体" w:eastAsia="宋体" w:cs="宋体"/>
                <w:sz w:val="24"/>
                <w:szCs w:val="24"/>
                <w:highlight w:val="none"/>
              </w:rPr>
            </w:pPr>
          </w:p>
        </w:tc>
        <w:tc>
          <w:tcPr>
            <w:tcW w:w="881" w:type="dxa"/>
            <w:vAlign w:val="top"/>
          </w:tcPr>
          <w:p w14:paraId="3AB1EA49">
            <w:pPr>
              <w:rPr>
                <w:rFonts w:hint="eastAsia" w:ascii="宋体" w:hAnsi="宋体" w:eastAsia="宋体" w:cs="宋体"/>
                <w:sz w:val="24"/>
                <w:szCs w:val="24"/>
                <w:highlight w:val="none"/>
              </w:rPr>
            </w:pPr>
          </w:p>
        </w:tc>
        <w:tc>
          <w:tcPr>
            <w:tcW w:w="1181" w:type="dxa"/>
            <w:vAlign w:val="top"/>
          </w:tcPr>
          <w:p w14:paraId="2FB28681">
            <w:pPr>
              <w:rPr>
                <w:rFonts w:hint="eastAsia" w:ascii="宋体" w:hAnsi="宋体" w:eastAsia="宋体" w:cs="宋体"/>
                <w:sz w:val="24"/>
                <w:szCs w:val="24"/>
                <w:highlight w:val="none"/>
              </w:rPr>
            </w:pPr>
          </w:p>
        </w:tc>
        <w:tc>
          <w:tcPr>
            <w:tcW w:w="1088" w:type="dxa"/>
            <w:vAlign w:val="top"/>
          </w:tcPr>
          <w:p w14:paraId="24A4A6BB">
            <w:pPr>
              <w:rPr>
                <w:rFonts w:hint="eastAsia" w:ascii="宋体" w:hAnsi="宋体" w:eastAsia="宋体" w:cs="宋体"/>
                <w:sz w:val="24"/>
                <w:szCs w:val="24"/>
                <w:highlight w:val="none"/>
              </w:rPr>
            </w:pPr>
          </w:p>
        </w:tc>
        <w:tc>
          <w:tcPr>
            <w:tcW w:w="918" w:type="dxa"/>
            <w:vAlign w:val="top"/>
          </w:tcPr>
          <w:p w14:paraId="2E096E2D">
            <w:pPr>
              <w:rPr>
                <w:rFonts w:hint="eastAsia" w:ascii="宋体" w:hAnsi="宋体" w:eastAsia="宋体" w:cs="宋体"/>
                <w:sz w:val="24"/>
                <w:szCs w:val="24"/>
                <w:highlight w:val="none"/>
              </w:rPr>
            </w:pPr>
          </w:p>
        </w:tc>
        <w:tc>
          <w:tcPr>
            <w:tcW w:w="769" w:type="dxa"/>
            <w:vAlign w:val="top"/>
          </w:tcPr>
          <w:p w14:paraId="5515E792">
            <w:pPr>
              <w:rPr>
                <w:rFonts w:hint="eastAsia" w:ascii="宋体" w:hAnsi="宋体" w:eastAsia="宋体" w:cs="宋体"/>
                <w:sz w:val="24"/>
                <w:szCs w:val="24"/>
                <w:highlight w:val="none"/>
              </w:rPr>
            </w:pPr>
          </w:p>
        </w:tc>
        <w:tc>
          <w:tcPr>
            <w:tcW w:w="1238" w:type="dxa"/>
            <w:vAlign w:val="top"/>
          </w:tcPr>
          <w:p w14:paraId="1C936935">
            <w:pPr>
              <w:rPr>
                <w:rFonts w:hint="eastAsia" w:ascii="宋体" w:hAnsi="宋体" w:eastAsia="宋体" w:cs="宋体"/>
                <w:sz w:val="24"/>
                <w:szCs w:val="24"/>
                <w:highlight w:val="none"/>
              </w:rPr>
            </w:pPr>
          </w:p>
        </w:tc>
      </w:tr>
      <w:tr w14:paraId="1FFD7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806" w:type="dxa"/>
            <w:vAlign w:val="top"/>
          </w:tcPr>
          <w:p w14:paraId="027ADADA">
            <w:pPr>
              <w:pStyle w:val="9"/>
              <w:spacing w:before="129" w:line="222" w:lineRule="auto"/>
              <w:ind w:left="285"/>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012" w:type="dxa"/>
            <w:vAlign w:val="top"/>
          </w:tcPr>
          <w:p w14:paraId="46B1E1A7">
            <w:pPr>
              <w:rPr>
                <w:rFonts w:hint="eastAsia" w:ascii="宋体" w:hAnsi="宋体" w:eastAsia="宋体" w:cs="宋体"/>
                <w:sz w:val="24"/>
                <w:szCs w:val="24"/>
                <w:highlight w:val="none"/>
              </w:rPr>
            </w:pPr>
          </w:p>
        </w:tc>
        <w:tc>
          <w:tcPr>
            <w:tcW w:w="1107" w:type="dxa"/>
            <w:vAlign w:val="top"/>
          </w:tcPr>
          <w:p w14:paraId="4954575E">
            <w:pPr>
              <w:rPr>
                <w:rFonts w:hint="eastAsia" w:ascii="宋体" w:hAnsi="宋体" w:eastAsia="宋体" w:cs="宋体"/>
                <w:sz w:val="24"/>
                <w:szCs w:val="24"/>
                <w:highlight w:val="none"/>
              </w:rPr>
            </w:pPr>
          </w:p>
        </w:tc>
        <w:tc>
          <w:tcPr>
            <w:tcW w:w="881" w:type="dxa"/>
            <w:vAlign w:val="top"/>
          </w:tcPr>
          <w:p w14:paraId="77F9268E">
            <w:pPr>
              <w:rPr>
                <w:rFonts w:hint="eastAsia" w:ascii="宋体" w:hAnsi="宋体" w:eastAsia="宋体" w:cs="宋体"/>
                <w:sz w:val="24"/>
                <w:szCs w:val="24"/>
                <w:highlight w:val="none"/>
              </w:rPr>
            </w:pPr>
          </w:p>
        </w:tc>
        <w:tc>
          <w:tcPr>
            <w:tcW w:w="1181" w:type="dxa"/>
            <w:vAlign w:val="top"/>
          </w:tcPr>
          <w:p w14:paraId="24778976">
            <w:pPr>
              <w:rPr>
                <w:rFonts w:hint="eastAsia" w:ascii="宋体" w:hAnsi="宋体" w:eastAsia="宋体" w:cs="宋体"/>
                <w:sz w:val="24"/>
                <w:szCs w:val="24"/>
                <w:highlight w:val="none"/>
              </w:rPr>
            </w:pPr>
          </w:p>
        </w:tc>
        <w:tc>
          <w:tcPr>
            <w:tcW w:w="1088" w:type="dxa"/>
            <w:vAlign w:val="top"/>
          </w:tcPr>
          <w:p w14:paraId="09C4B41B">
            <w:pPr>
              <w:rPr>
                <w:rFonts w:hint="eastAsia" w:ascii="宋体" w:hAnsi="宋体" w:eastAsia="宋体" w:cs="宋体"/>
                <w:sz w:val="24"/>
                <w:szCs w:val="24"/>
                <w:highlight w:val="none"/>
              </w:rPr>
            </w:pPr>
          </w:p>
        </w:tc>
        <w:tc>
          <w:tcPr>
            <w:tcW w:w="918" w:type="dxa"/>
            <w:vAlign w:val="top"/>
          </w:tcPr>
          <w:p w14:paraId="62EC6041">
            <w:pPr>
              <w:rPr>
                <w:rFonts w:hint="eastAsia" w:ascii="宋体" w:hAnsi="宋体" w:eastAsia="宋体" w:cs="宋体"/>
                <w:sz w:val="24"/>
                <w:szCs w:val="24"/>
                <w:highlight w:val="none"/>
              </w:rPr>
            </w:pPr>
          </w:p>
        </w:tc>
        <w:tc>
          <w:tcPr>
            <w:tcW w:w="769" w:type="dxa"/>
            <w:vAlign w:val="top"/>
          </w:tcPr>
          <w:p w14:paraId="5B81BED4">
            <w:pPr>
              <w:rPr>
                <w:rFonts w:hint="eastAsia" w:ascii="宋体" w:hAnsi="宋体" w:eastAsia="宋体" w:cs="宋体"/>
                <w:sz w:val="24"/>
                <w:szCs w:val="24"/>
                <w:highlight w:val="none"/>
              </w:rPr>
            </w:pPr>
          </w:p>
        </w:tc>
        <w:tc>
          <w:tcPr>
            <w:tcW w:w="1238" w:type="dxa"/>
            <w:vAlign w:val="top"/>
          </w:tcPr>
          <w:p w14:paraId="06BB02E5">
            <w:pPr>
              <w:rPr>
                <w:rFonts w:hint="eastAsia" w:ascii="宋体" w:hAnsi="宋体" w:eastAsia="宋体" w:cs="宋体"/>
                <w:sz w:val="24"/>
                <w:szCs w:val="24"/>
                <w:highlight w:val="none"/>
              </w:rPr>
            </w:pPr>
          </w:p>
        </w:tc>
      </w:tr>
      <w:tr w14:paraId="49E071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806" w:type="dxa"/>
            <w:vAlign w:val="top"/>
          </w:tcPr>
          <w:p w14:paraId="728C346E">
            <w:pPr>
              <w:pStyle w:val="9"/>
              <w:spacing w:before="131" w:line="229" w:lineRule="auto"/>
              <w:ind w:left="285"/>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012" w:type="dxa"/>
            <w:vAlign w:val="top"/>
          </w:tcPr>
          <w:p w14:paraId="11E4652B">
            <w:pPr>
              <w:rPr>
                <w:rFonts w:hint="eastAsia" w:ascii="宋体" w:hAnsi="宋体" w:eastAsia="宋体" w:cs="宋体"/>
                <w:sz w:val="24"/>
                <w:szCs w:val="24"/>
                <w:highlight w:val="none"/>
              </w:rPr>
            </w:pPr>
          </w:p>
        </w:tc>
        <w:tc>
          <w:tcPr>
            <w:tcW w:w="1107" w:type="dxa"/>
            <w:vAlign w:val="top"/>
          </w:tcPr>
          <w:p w14:paraId="01D98518">
            <w:pPr>
              <w:rPr>
                <w:rFonts w:hint="eastAsia" w:ascii="宋体" w:hAnsi="宋体" w:eastAsia="宋体" w:cs="宋体"/>
                <w:sz w:val="24"/>
                <w:szCs w:val="24"/>
                <w:highlight w:val="none"/>
              </w:rPr>
            </w:pPr>
          </w:p>
        </w:tc>
        <w:tc>
          <w:tcPr>
            <w:tcW w:w="881" w:type="dxa"/>
            <w:vAlign w:val="top"/>
          </w:tcPr>
          <w:p w14:paraId="5F7FAC36">
            <w:pPr>
              <w:rPr>
                <w:rFonts w:hint="eastAsia" w:ascii="宋体" w:hAnsi="宋体" w:eastAsia="宋体" w:cs="宋体"/>
                <w:sz w:val="24"/>
                <w:szCs w:val="24"/>
                <w:highlight w:val="none"/>
              </w:rPr>
            </w:pPr>
          </w:p>
        </w:tc>
        <w:tc>
          <w:tcPr>
            <w:tcW w:w="1181" w:type="dxa"/>
            <w:vAlign w:val="top"/>
          </w:tcPr>
          <w:p w14:paraId="39F6319F">
            <w:pPr>
              <w:rPr>
                <w:rFonts w:hint="eastAsia" w:ascii="宋体" w:hAnsi="宋体" w:eastAsia="宋体" w:cs="宋体"/>
                <w:sz w:val="24"/>
                <w:szCs w:val="24"/>
                <w:highlight w:val="none"/>
              </w:rPr>
            </w:pPr>
          </w:p>
        </w:tc>
        <w:tc>
          <w:tcPr>
            <w:tcW w:w="1088" w:type="dxa"/>
            <w:vAlign w:val="top"/>
          </w:tcPr>
          <w:p w14:paraId="0F2288F4">
            <w:pPr>
              <w:rPr>
                <w:rFonts w:hint="eastAsia" w:ascii="宋体" w:hAnsi="宋体" w:eastAsia="宋体" w:cs="宋体"/>
                <w:sz w:val="24"/>
                <w:szCs w:val="24"/>
                <w:highlight w:val="none"/>
              </w:rPr>
            </w:pPr>
          </w:p>
        </w:tc>
        <w:tc>
          <w:tcPr>
            <w:tcW w:w="918" w:type="dxa"/>
            <w:vAlign w:val="top"/>
          </w:tcPr>
          <w:p w14:paraId="0C2E856B">
            <w:pPr>
              <w:rPr>
                <w:rFonts w:hint="eastAsia" w:ascii="宋体" w:hAnsi="宋体" w:eastAsia="宋体" w:cs="宋体"/>
                <w:sz w:val="24"/>
                <w:szCs w:val="24"/>
                <w:highlight w:val="none"/>
              </w:rPr>
            </w:pPr>
          </w:p>
        </w:tc>
        <w:tc>
          <w:tcPr>
            <w:tcW w:w="769" w:type="dxa"/>
            <w:vAlign w:val="top"/>
          </w:tcPr>
          <w:p w14:paraId="37DFF8E2">
            <w:pPr>
              <w:rPr>
                <w:rFonts w:hint="eastAsia" w:ascii="宋体" w:hAnsi="宋体" w:eastAsia="宋体" w:cs="宋体"/>
                <w:sz w:val="24"/>
                <w:szCs w:val="24"/>
                <w:highlight w:val="none"/>
              </w:rPr>
            </w:pPr>
          </w:p>
        </w:tc>
        <w:tc>
          <w:tcPr>
            <w:tcW w:w="1238" w:type="dxa"/>
            <w:vAlign w:val="top"/>
          </w:tcPr>
          <w:p w14:paraId="182D9D95">
            <w:pPr>
              <w:rPr>
                <w:rFonts w:hint="eastAsia" w:ascii="宋体" w:hAnsi="宋体" w:eastAsia="宋体" w:cs="宋体"/>
                <w:sz w:val="24"/>
                <w:szCs w:val="24"/>
                <w:highlight w:val="none"/>
              </w:rPr>
            </w:pPr>
          </w:p>
        </w:tc>
      </w:tr>
      <w:tr w14:paraId="54D78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4" w:hRule="atLeast"/>
        </w:trPr>
        <w:tc>
          <w:tcPr>
            <w:tcW w:w="3806" w:type="dxa"/>
            <w:gridSpan w:val="4"/>
            <w:vAlign w:val="top"/>
          </w:tcPr>
          <w:p w14:paraId="01CF8FBF">
            <w:pPr>
              <w:pStyle w:val="9"/>
              <w:spacing w:before="151" w:line="210" w:lineRule="auto"/>
              <w:ind w:left="1395"/>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合计</w:t>
            </w:r>
          </w:p>
        </w:tc>
        <w:tc>
          <w:tcPr>
            <w:tcW w:w="1181" w:type="dxa"/>
            <w:vAlign w:val="top"/>
          </w:tcPr>
          <w:p w14:paraId="011094EE">
            <w:pPr>
              <w:rPr>
                <w:rFonts w:hint="eastAsia" w:ascii="宋体" w:hAnsi="宋体" w:eastAsia="宋体" w:cs="宋体"/>
                <w:sz w:val="24"/>
                <w:szCs w:val="24"/>
                <w:highlight w:val="none"/>
              </w:rPr>
            </w:pPr>
          </w:p>
        </w:tc>
        <w:tc>
          <w:tcPr>
            <w:tcW w:w="1088" w:type="dxa"/>
            <w:vAlign w:val="top"/>
          </w:tcPr>
          <w:p w14:paraId="7BA91910">
            <w:pPr>
              <w:rPr>
                <w:rFonts w:hint="eastAsia" w:ascii="宋体" w:hAnsi="宋体" w:eastAsia="宋体" w:cs="宋体"/>
                <w:sz w:val="24"/>
                <w:szCs w:val="24"/>
                <w:highlight w:val="none"/>
              </w:rPr>
            </w:pPr>
          </w:p>
        </w:tc>
        <w:tc>
          <w:tcPr>
            <w:tcW w:w="918" w:type="dxa"/>
            <w:vAlign w:val="top"/>
          </w:tcPr>
          <w:p w14:paraId="12251A72">
            <w:pPr>
              <w:rPr>
                <w:rFonts w:hint="eastAsia" w:ascii="宋体" w:hAnsi="宋体" w:eastAsia="宋体" w:cs="宋体"/>
                <w:sz w:val="24"/>
                <w:szCs w:val="24"/>
                <w:highlight w:val="none"/>
              </w:rPr>
            </w:pPr>
          </w:p>
        </w:tc>
        <w:tc>
          <w:tcPr>
            <w:tcW w:w="769" w:type="dxa"/>
            <w:vAlign w:val="top"/>
          </w:tcPr>
          <w:p w14:paraId="29FF03BF">
            <w:pPr>
              <w:rPr>
                <w:rFonts w:hint="eastAsia" w:ascii="宋体" w:hAnsi="宋体" w:eastAsia="宋体" w:cs="宋体"/>
                <w:sz w:val="24"/>
                <w:szCs w:val="24"/>
                <w:highlight w:val="none"/>
              </w:rPr>
            </w:pPr>
          </w:p>
        </w:tc>
        <w:tc>
          <w:tcPr>
            <w:tcW w:w="1238" w:type="dxa"/>
            <w:vAlign w:val="top"/>
          </w:tcPr>
          <w:p w14:paraId="6F330AA6">
            <w:pPr>
              <w:rPr>
                <w:rFonts w:hint="eastAsia" w:ascii="宋体" w:hAnsi="宋体" w:eastAsia="宋体" w:cs="宋体"/>
                <w:sz w:val="24"/>
                <w:szCs w:val="24"/>
                <w:highlight w:val="none"/>
              </w:rPr>
            </w:pPr>
          </w:p>
        </w:tc>
      </w:tr>
    </w:tbl>
    <w:p w14:paraId="20730DD2">
      <w:pPr>
        <w:spacing w:before="43" w:line="219"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副本抄送：工程项目收货人。</w:t>
      </w:r>
    </w:p>
    <w:p w14:paraId="6AA01859">
      <w:pPr>
        <w:spacing w:before="43" w:line="219" w:lineRule="auto"/>
        <w:rPr>
          <w:rFonts w:hint="eastAsia" w:ascii="宋体" w:hAnsi="宋体" w:eastAsia="宋体" w:cs="宋体"/>
          <w:sz w:val="24"/>
          <w:szCs w:val="24"/>
          <w:highlight w:val="none"/>
        </w:rPr>
      </w:pPr>
    </w:p>
    <w:p w14:paraId="144A1193">
      <w:pPr>
        <w:spacing w:before="43" w:line="219" w:lineRule="auto"/>
        <w:rPr>
          <w:rFonts w:hint="eastAsia" w:ascii="宋体" w:hAnsi="宋体" w:eastAsia="宋体" w:cs="宋体"/>
          <w:sz w:val="24"/>
          <w:szCs w:val="24"/>
          <w:highlight w:val="none"/>
        </w:rPr>
      </w:pPr>
    </w:p>
    <w:p w14:paraId="1ABBDB46">
      <w:pPr>
        <w:spacing w:before="43" w:line="219"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南宁轨道地产建筑</w:t>
      </w:r>
      <w:r>
        <w:rPr>
          <w:rFonts w:hint="eastAsia" w:ascii="宋体" w:hAnsi="宋体" w:eastAsia="宋体" w:cs="宋体"/>
          <w:sz w:val="24"/>
          <w:szCs w:val="24"/>
          <w:highlight w:val="none"/>
          <w:lang w:val="en-US" w:eastAsia="zh-CN"/>
        </w:rPr>
        <w:t>工程</w:t>
      </w:r>
      <w:r>
        <w:rPr>
          <w:rFonts w:hint="eastAsia" w:ascii="宋体" w:hAnsi="宋体" w:eastAsia="宋体" w:cs="宋体"/>
          <w:sz w:val="24"/>
          <w:szCs w:val="24"/>
          <w:highlight w:val="none"/>
        </w:rPr>
        <w:t>有限责任公司采购部(盖章)</w:t>
      </w:r>
    </w:p>
    <w:p w14:paraId="55333516">
      <w:pPr>
        <w:spacing w:before="177" w:line="219" w:lineRule="auto"/>
        <w:ind w:left="6390"/>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经办人：</w:t>
      </w:r>
    </w:p>
    <w:p w14:paraId="10CCA964">
      <w:pPr>
        <w:spacing w:before="174" w:line="223" w:lineRule="auto"/>
        <w:ind w:left="6400"/>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联系电话：</w:t>
      </w:r>
    </w:p>
    <w:p w14:paraId="3BC856D1">
      <w:pPr>
        <w:spacing w:before="172" w:line="220" w:lineRule="auto"/>
        <w:ind w:left="6430"/>
        <w:rPr>
          <w:rFonts w:hint="eastAsia" w:ascii="宋体" w:hAnsi="宋体" w:eastAsia="宋体" w:cs="宋体"/>
          <w:sz w:val="24"/>
          <w:szCs w:val="24"/>
          <w:highlight w:val="none"/>
        </w:rPr>
      </w:pPr>
      <w:r>
        <w:rPr>
          <w:rFonts w:hint="eastAsia" w:ascii="宋体" w:hAnsi="宋体" w:eastAsia="宋体" w:cs="宋体"/>
          <w:color w:val="404070"/>
          <w:spacing w:val="-19"/>
          <w:sz w:val="24"/>
          <w:szCs w:val="24"/>
          <w:highlight w:val="none"/>
        </w:rPr>
        <w:t>日</w:t>
      </w:r>
      <w:r>
        <w:rPr>
          <w:rFonts w:hint="eastAsia" w:ascii="宋体" w:hAnsi="宋体" w:eastAsia="宋体" w:cs="宋体"/>
          <w:spacing w:val="-19"/>
          <w:sz w:val="24"/>
          <w:szCs w:val="24"/>
          <w:highlight w:val="none"/>
        </w:rPr>
        <w:t>期：</w:t>
      </w:r>
    </w:p>
    <w:p w14:paraId="5490320F">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ACFCFBC-B28E-42FF-80E1-5C067D12D78B}"/>
  </w:font>
  <w:font w:name="仿宋_GB2312">
    <w:altName w:val="仿宋"/>
    <w:panose1 w:val="02010609030101010101"/>
    <w:charset w:val="86"/>
    <w:family w:val="modern"/>
    <w:pitch w:val="default"/>
    <w:sig w:usb0="00000000" w:usb1="00000000" w:usb2="00000000" w:usb3="00000000" w:csb0="00040000" w:csb1="00000000"/>
    <w:embedRegular r:id="rId2" w:fontKey="{CE5CA199-C16F-4B48-B5FA-6E3B5112B378}"/>
  </w:font>
  <w:font w:name="仿宋">
    <w:panose1 w:val="02010609060101010101"/>
    <w:charset w:val="86"/>
    <w:family w:val="auto"/>
    <w:pitch w:val="default"/>
    <w:sig w:usb0="800002BF" w:usb1="38CF7CFA" w:usb2="00000016" w:usb3="00000000" w:csb0="00040001" w:csb1="00000000"/>
    <w:embedRegular r:id="rId3" w:fontKey="{85C42854-7D45-4A20-9590-B5A1F273C298}"/>
  </w:font>
  <w:font w:name="方正仿宋_GB2312">
    <w:panose1 w:val="02000000000000000000"/>
    <w:charset w:val="86"/>
    <w:family w:val="auto"/>
    <w:pitch w:val="default"/>
    <w:sig w:usb0="A00002BF" w:usb1="184F6CFA" w:usb2="00000012" w:usb3="00000000" w:csb0="00040001" w:csb1="00000000"/>
    <w:embedRegular r:id="rId4" w:fontKey="{3F03BF0C-825F-4932-AF61-59DA9DFC005B}"/>
  </w:font>
  <w:font w:name="方正小标宋简体">
    <w:panose1 w:val="02000000000000000000"/>
    <w:charset w:val="86"/>
    <w:family w:val="auto"/>
    <w:pitch w:val="default"/>
    <w:sig w:usb0="00000001" w:usb1="08000000" w:usb2="00000000" w:usb3="00000000" w:csb0="00040000" w:csb1="00000000"/>
    <w:embedRegular r:id="rId5" w:fontKey="{D9B81BBC-E60E-44B4-8802-B40D93EAF6D5}"/>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230D77">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F36677">
                          <w:pPr>
                            <w:pStyle w:val="2"/>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4AF36677">
                    <w:pPr>
                      <w:pStyle w:val="2"/>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p w14:paraId="11B9F7D6">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7ABE2">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1C4440">
                          <w:pPr>
                            <w:pStyle w:val="2"/>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6A1C4440">
                    <w:pPr>
                      <w:pStyle w:val="2"/>
                    </w:pPr>
                    <w:r>
                      <w:t xml:space="preserve">第 </w:t>
                    </w:r>
                    <w:r>
                      <w:fldChar w:fldCharType="begin"/>
                    </w:r>
                    <w:r>
                      <w:instrText xml:space="preserve"> PAGE  \* MERGEFORMAT </w:instrText>
                    </w:r>
                    <w:r>
                      <w:fldChar w:fldCharType="separate"/>
                    </w:r>
                    <w:r>
                      <w:t>7</w:t>
                    </w:r>
                    <w:r>
                      <w:fldChar w:fldCharType="end"/>
                    </w:r>
                    <w:r>
                      <w:t xml:space="preserve"> 页 共 </w:t>
                    </w:r>
                    <w:r>
                      <w:fldChar w:fldCharType="begin"/>
                    </w:r>
                    <w:r>
                      <w:instrText xml:space="preserve"> NUMPAGES  \* MERGEFORMAT </w:instrText>
                    </w:r>
                    <w:r>
                      <w:fldChar w:fldCharType="separate"/>
                    </w:r>
                    <w:r>
                      <w:t>13</w:t>
                    </w:r>
                    <w:r>
                      <w:fldChar w:fldCharType="end"/>
                    </w:r>
                    <w:r>
                      <w:t xml:space="preserve"> 页</w:t>
                    </w:r>
                  </w:p>
                </w:txbxContent>
              </v:textbox>
            </v:shape>
          </w:pict>
        </mc:Fallback>
      </mc:AlternateContent>
    </w:r>
  </w:p>
  <w:p w14:paraId="36043292">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591FC8"/>
    <w:rsid w:val="0CC72F7E"/>
    <w:rsid w:val="0F9E192F"/>
    <w:rsid w:val="160919E8"/>
    <w:rsid w:val="1E160851"/>
    <w:rsid w:val="2CA64650"/>
    <w:rsid w:val="2E3A5DFF"/>
    <w:rsid w:val="331E3A04"/>
    <w:rsid w:val="42C57B32"/>
    <w:rsid w:val="44A52BB9"/>
    <w:rsid w:val="44FC39B7"/>
    <w:rsid w:val="49023DE8"/>
    <w:rsid w:val="4D8E53C8"/>
    <w:rsid w:val="52B42E67"/>
    <w:rsid w:val="56D17427"/>
    <w:rsid w:val="61D05B58"/>
    <w:rsid w:val="649E018F"/>
    <w:rsid w:val="6DFC110B"/>
    <w:rsid w:val="724203AC"/>
    <w:rsid w:val="72520472"/>
    <w:rsid w:val="73942E89"/>
    <w:rsid w:val="76AB1C47"/>
    <w:rsid w:val="7C802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6">
    <w:name w:val="普通(网站) Char"/>
    <w:basedOn w:val="1"/>
    <w:qFormat/>
    <w:uiPriority w:val="99"/>
    <w:pPr>
      <w:widowControl/>
      <w:spacing w:before="100" w:beforeAutospacing="1" w:after="100" w:afterAutospacing="1" w:line="360" w:lineRule="auto"/>
      <w:jc w:val="left"/>
    </w:pPr>
    <w:rPr>
      <w:rFonts w:ascii="宋体" w:hAnsi="宋体" w:cs="宋体"/>
      <w:kern w:val="0"/>
      <w:sz w:val="24"/>
      <w:szCs w:val="24"/>
    </w:rPr>
  </w:style>
  <w:style w:type="paragraph" w:customStyle="1" w:styleId="7">
    <w:name w:val="正文_2"/>
    <w:qFormat/>
    <w:uiPriority w:val="0"/>
    <w:pPr>
      <w:widowControl w:val="0"/>
      <w:jc w:val="both"/>
    </w:pPr>
    <w:rPr>
      <w:rFonts w:ascii="Calibri" w:hAnsi="Calibri" w:eastAsia="宋体" w:cs="Times New Roman"/>
      <w:kern w:val="2"/>
      <w:sz w:val="21"/>
      <w:szCs w:val="22"/>
      <w:lang w:val="en-US" w:eastAsia="zh-CN" w:bidi="ar-SA"/>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2700</Words>
  <Characters>2818</Characters>
  <Lines>0</Lines>
  <Paragraphs>0</Paragraphs>
  <TotalTime>3</TotalTime>
  <ScaleCrop>false</ScaleCrop>
  <LinksUpToDate>false</LinksUpToDate>
  <CharactersWithSpaces>3076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2026-08-26T08:11:00Z</dcterms:created>
  <dc:creator>Zhuliqiong</dc:creator>
  <cp:lastModifiedBy>南宁古天乐</cp:lastModifiedBy>
  <dcterms:modified xsi:type="dcterms:W3CDTF">2026-09-08T00:30:11Z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eyJoZGlkIjoiODJlYTRhNGU5ZDc3MzZlNDZjODgxMDNkYmJhOTQ4YTAiLCJ1c2VySWQiOiIzNzQ2ODUyMTIifQ==</vt:lpwstr>
  </property>
  <property fmtid="{D5CDD505-2E9C-101B-9397-08002B2CF9AE}" pid="4" name="ICV">
    <vt:lpwstr>A4629BC2996F44FCAFBCBB2AE1F82B68_12</vt:lpwstr>
  </property>
</Properties>
</file>